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5CA4" w14:textId="77777777" w:rsidR="00194871" w:rsidRDefault="00194871" w:rsidP="001824A0">
      <w:pPr>
        <w:pStyle w:val="Title"/>
        <w:spacing w:line="288" w:lineRule="auto"/>
      </w:pPr>
      <w:r>
        <w:t>CONSUMER PRICE INDEX</w:t>
      </w:r>
    </w:p>
    <w:p w14:paraId="28FDBD2C" w14:textId="77777777" w:rsidR="00194871" w:rsidRPr="001824A0" w:rsidRDefault="00E50E22" w:rsidP="001824A0">
      <w:pPr>
        <w:spacing w:line="288" w:lineRule="auto"/>
        <w:ind w:left="284" w:right="284"/>
        <w:jc w:val="center"/>
        <w:rPr>
          <w:bCs/>
          <w:i/>
        </w:rPr>
      </w:pPr>
      <w:r w:rsidRPr="001824A0">
        <w:rPr>
          <w:bCs/>
          <w:i/>
        </w:rPr>
        <w:t>(B</w:t>
      </w:r>
      <w:r w:rsidR="00194871" w:rsidRPr="001824A0">
        <w:rPr>
          <w:bCs/>
          <w:i/>
        </w:rPr>
        <w:t>ase period</w:t>
      </w:r>
      <w:r w:rsidRPr="001824A0">
        <w:rPr>
          <w:bCs/>
          <w:i/>
        </w:rPr>
        <w:t>:</w:t>
      </w:r>
      <w:r w:rsidR="00194871" w:rsidRPr="001824A0">
        <w:rPr>
          <w:bCs/>
          <w:i/>
        </w:rPr>
        <w:t xml:space="preserve"> </w:t>
      </w:r>
      <w:r w:rsidRPr="001824A0">
        <w:rPr>
          <w:bCs/>
          <w:i/>
        </w:rPr>
        <w:t>J</w:t>
      </w:r>
      <w:r w:rsidR="00C439D4">
        <w:rPr>
          <w:bCs/>
          <w:i/>
        </w:rPr>
        <w:t xml:space="preserve">anuary </w:t>
      </w:r>
      <w:r w:rsidRPr="001824A0">
        <w:rPr>
          <w:bCs/>
          <w:i/>
        </w:rPr>
        <w:t>–</w:t>
      </w:r>
      <w:r w:rsidR="00C439D4">
        <w:rPr>
          <w:bCs/>
          <w:i/>
        </w:rPr>
        <w:t xml:space="preserve"> December</w:t>
      </w:r>
      <w:r w:rsidRPr="001824A0">
        <w:rPr>
          <w:bCs/>
          <w:i/>
        </w:rPr>
        <w:t xml:space="preserve"> 20</w:t>
      </w:r>
      <w:r w:rsidR="00C439D4">
        <w:rPr>
          <w:bCs/>
          <w:i/>
        </w:rPr>
        <w:t>1</w:t>
      </w:r>
      <w:r w:rsidR="00C52048">
        <w:rPr>
          <w:bCs/>
          <w:i/>
        </w:rPr>
        <w:t>7</w:t>
      </w:r>
      <w:r w:rsidR="00194871" w:rsidRPr="001824A0">
        <w:rPr>
          <w:bCs/>
          <w:i/>
        </w:rPr>
        <w:t xml:space="preserve"> = 100)</w:t>
      </w:r>
    </w:p>
    <w:p w14:paraId="294F004D" w14:textId="77777777" w:rsidR="00194871" w:rsidRDefault="00B72AE5" w:rsidP="001824A0">
      <w:pPr>
        <w:spacing w:line="288" w:lineRule="auto"/>
        <w:ind w:left="284" w:right="284"/>
        <w:jc w:val="center"/>
        <w:rPr>
          <w:b/>
        </w:rPr>
      </w:pPr>
      <w:r>
        <w:rPr>
          <w:b/>
        </w:rPr>
        <w:t>1</w:t>
      </w:r>
      <w:r w:rsidRPr="00B72AE5">
        <w:rPr>
          <w:b/>
          <w:vertAlign w:val="superscript"/>
        </w:rPr>
        <w:t>st</w:t>
      </w:r>
      <w:r>
        <w:rPr>
          <w:b/>
        </w:rPr>
        <w:t xml:space="preserve"> </w:t>
      </w:r>
      <w:r w:rsidR="00571984">
        <w:rPr>
          <w:b/>
        </w:rPr>
        <w:t xml:space="preserve">Quarter </w:t>
      </w:r>
      <w:r w:rsidR="00DD4ADE">
        <w:rPr>
          <w:b/>
        </w:rPr>
        <w:t>2021</w:t>
      </w:r>
    </w:p>
    <w:p w14:paraId="56CB5B9B" w14:textId="77777777" w:rsidR="00EF592C" w:rsidRDefault="00EF592C" w:rsidP="001824A0">
      <w:pPr>
        <w:pStyle w:val="Heading3"/>
        <w:numPr>
          <w:ilvl w:val="0"/>
          <w:numId w:val="3"/>
        </w:numPr>
        <w:tabs>
          <w:tab w:val="left" w:pos="360"/>
        </w:tabs>
        <w:ind w:left="90" w:hanging="90"/>
      </w:pPr>
      <w:r>
        <w:t>INTRODUCTION</w:t>
      </w:r>
    </w:p>
    <w:p w14:paraId="52863265" w14:textId="77777777" w:rsidR="00EF592C" w:rsidRDefault="00EF592C" w:rsidP="0069466C">
      <w:pPr>
        <w:spacing w:line="180" w:lineRule="auto"/>
      </w:pPr>
    </w:p>
    <w:p w14:paraId="01483033" w14:textId="77777777" w:rsidR="00E56E1C" w:rsidRDefault="00E56E1C" w:rsidP="00E56E1C">
      <w:r>
        <w:t xml:space="preserve">This issue of Economic and Social Indicators presents the Consumer Price Index (CPI) for the </w:t>
      </w:r>
      <w:r w:rsidR="00B72AE5">
        <w:t>first</w:t>
      </w:r>
      <w:r w:rsidR="00571984">
        <w:t xml:space="preserve"> quarter </w:t>
      </w:r>
      <w:r w:rsidR="00DD4ADE">
        <w:t>2021</w:t>
      </w:r>
      <w:r>
        <w:t>.</w:t>
      </w:r>
      <w:r w:rsidR="00933FB8">
        <w:t xml:space="preserve"> </w:t>
      </w:r>
      <w:r>
        <w:t>The met</w:t>
      </w:r>
      <w:r w:rsidR="002E3EE4">
        <w:t>hodology used for computing CPI and</w:t>
      </w:r>
      <w:r>
        <w:t xml:space="preserve"> inflation rate is given in the technical note at Annex. </w:t>
      </w:r>
    </w:p>
    <w:p w14:paraId="496DD065" w14:textId="77777777" w:rsidR="00D30E79" w:rsidRDefault="00D30E79" w:rsidP="001824A0">
      <w:pPr>
        <w:spacing w:line="180" w:lineRule="auto"/>
      </w:pPr>
    </w:p>
    <w:p w14:paraId="14E0918E" w14:textId="77777777" w:rsidR="00194871" w:rsidRDefault="00DB42CF" w:rsidP="0090463E">
      <w:pPr>
        <w:pStyle w:val="Heading3"/>
        <w:numPr>
          <w:ilvl w:val="0"/>
          <w:numId w:val="3"/>
        </w:numPr>
      </w:pPr>
      <w:r>
        <w:t>KEY POINTS</w:t>
      </w:r>
    </w:p>
    <w:p w14:paraId="063CB1E2" w14:textId="77777777" w:rsidR="00D81394" w:rsidRDefault="00D81394" w:rsidP="001824A0">
      <w:pPr>
        <w:spacing w:line="180" w:lineRule="auto"/>
      </w:pPr>
    </w:p>
    <w:p w14:paraId="6180CE8A" w14:textId="77777777" w:rsidR="00EF592C" w:rsidRPr="00EF592C" w:rsidRDefault="00EF592C" w:rsidP="00657EA3">
      <w:pPr>
        <w:rPr>
          <w:b/>
        </w:rPr>
      </w:pPr>
      <w:r w:rsidRPr="00EF592C">
        <w:rPr>
          <w:b/>
        </w:rPr>
        <w:t>2.1</w:t>
      </w:r>
      <w:r w:rsidRPr="00EF592C">
        <w:rPr>
          <w:b/>
        </w:rPr>
        <w:tab/>
      </w:r>
      <w:r w:rsidR="002E3EE4">
        <w:rPr>
          <w:b/>
          <w:u w:val="single"/>
        </w:rPr>
        <w:t>O</w:t>
      </w:r>
      <w:r w:rsidRPr="00EF592C">
        <w:rPr>
          <w:b/>
          <w:u w:val="single"/>
        </w:rPr>
        <w:t>verall CPI</w:t>
      </w:r>
    </w:p>
    <w:p w14:paraId="2580811D" w14:textId="77777777" w:rsidR="00EF592C" w:rsidRDefault="00EF592C" w:rsidP="001824A0">
      <w:pPr>
        <w:spacing w:line="180" w:lineRule="auto"/>
      </w:pPr>
    </w:p>
    <w:p w14:paraId="4DE60E79" w14:textId="77777777" w:rsidR="00F51D31" w:rsidRDefault="00F51D31" w:rsidP="00F51D31">
      <w:r>
        <w:t xml:space="preserve">The Consumer Price Index, which stood at </w:t>
      </w:r>
      <w:r w:rsidR="00DD4ADE">
        <w:t>106</w:t>
      </w:r>
      <w:r w:rsidR="005F00D6">
        <w:t>.</w:t>
      </w:r>
      <w:r w:rsidR="00DD4ADE">
        <w:t>1</w:t>
      </w:r>
      <w:r>
        <w:t xml:space="preserve"> in </w:t>
      </w:r>
      <w:r w:rsidR="00B72AE5">
        <w:t xml:space="preserve">December </w:t>
      </w:r>
      <w:r w:rsidR="00DD4ADE">
        <w:t>2020</w:t>
      </w:r>
      <w:r>
        <w:t xml:space="preserve">, registered a net </w:t>
      </w:r>
      <w:r w:rsidR="00DF4208">
        <w:t>in</w:t>
      </w:r>
      <w:r>
        <w:t xml:space="preserve">crease of </w:t>
      </w:r>
      <w:r w:rsidR="007E28A2">
        <w:t xml:space="preserve">        </w:t>
      </w:r>
      <w:r w:rsidR="00DD4ADE">
        <w:t>2.4</w:t>
      </w:r>
      <w:r>
        <w:t xml:space="preserve"> point</w:t>
      </w:r>
      <w:r w:rsidR="00571984">
        <w:t>s</w:t>
      </w:r>
      <w:r>
        <w:t xml:space="preserve"> (or </w:t>
      </w:r>
      <w:r w:rsidR="00DD4ADE">
        <w:t>2.3</w:t>
      </w:r>
      <w:r w:rsidR="00571984">
        <w:t>%) to reach 1</w:t>
      </w:r>
      <w:r w:rsidR="00DD4ADE">
        <w:t>08.5</w:t>
      </w:r>
      <w:r>
        <w:t xml:space="preserve"> in </w:t>
      </w:r>
      <w:r w:rsidR="00B72AE5">
        <w:t>March</w:t>
      </w:r>
      <w:r w:rsidR="00571984">
        <w:t xml:space="preserve"> </w:t>
      </w:r>
      <w:r w:rsidR="005F00D6">
        <w:t>202</w:t>
      </w:r>
      <w:r w:rsidR="00DD4ADE">
        <w:t>1</w:t>
      </w:r>
      <w:r>
        <w:t xml:space="preserve"> (Table </w:t>
      </w:r>
      <w:r w:rsidR="00700E6F">
        <w:t>1</w:t>
      </w:r>
      <w:r w:rsidR="006A6C53">
        <w:t>A</w:t>
      </w:r>
      <w:r>
        <w:t>).</w:t>
      </w:r>
    </w:p>
    <w:p w14:paraId="0DC6291A" w14:textId="77777777" w:rsidR="00F51D31" w:rsidRDefault="00F51D31" w:rsidP="009675DD">
      <w:pPr>
        <w:spacing w:line="180" w:lineRule="exact"/>
      </w:pPr>
    </w:p>
    <w:p w14:paraId="06238891" w14:textId="77777777" w:rsidR="005F00D6" w:rsidRDefault="005F00D6" w:rsidP="005F00D6">
      <w:r>
        <w:t xml:space="preserve">On a monthly basis, the CPI increased by </w:t>
      </w:r>
      <w:r w:rsidR="00C231B5">
        <w:t>0.9 point</w:t>
      </w:r>
      <w:r w:rsidR="00B917EE">
        <w:t xml:space="preserve"> </w:t>
      </w:r>
      <w:r w:rsidR="00DD4ADE">
        <w:t xml:space="preserve">in January </w:t>
      </w:r>
      <w:r w:rsidR="00C231B5">
        <w:t xml:space="preserve">as well as </w:t>
      </w:r>
      <w:r>
        <w:t xml:space="preserve">in February and </w:t>
      </w:r>
      <w:r w:rsidR="00DD4ADE">
        <w:t>by 0.6</w:t>
      </w:r>
      <w:r>
        <w:t xml:space="preserve"> point in March.</w:t>
      </w:r>
    </w:p>
    <w:p w14:paraId="1C3AC60B" w14:textId="77777777" w:rsidR="00194871" w:rsidRDefault="00194871" w:rsidP="001824A0">
      <w:pPr>
        <w:spacing w:line="180" w:lineRule="auto"/>
        <w:rPr>
          <w:b/>
        </w:rPr>
      </w:pPr>
    </w:p>
    <w:p w14:paraId="15CC63A6" w14:textId="77777777" w:rsidR="00EF592C" w:rsidRPr="00EF592C" w:rsidRDefault="00EF592C" w:rsidP="00EF592C">
      <w:pPr>
        <w:rPr>
          <w:b/>
        </w:rPr>
      </w:pPr>
      <w:r w:rsidRPr="00EF592C">
        <w:rPr>
          <w:b/>
        </w:rPr>
        <w:t>2.</w:t>
      </w:r>
      <w:r>
        <w:rPr>
          <w:b/>
        </w:rPr>
        <w:t>2</w:t>
      </w:r>
      <w:r w:rsidRPr="00EF592C">
        <w:rPr>
          <w:b/>
        </w:rPr>
        <w:tab/>
      </w:r>
      <w:r>
        <w:rPr>
          <w:b/>
          <w:u w:val="single"/>
        </w:rPr>
        <w:t>Overview of CPI movements</w:t>
      </w:r>
    </w:p>
    <w:p w14:paraId="5D178E00" w14:textId="77777777" w:rsidR="00A61F0D" w:rsidRPr="001824A0" w:rsidRDefault="00A61F0D" w:rsidP="009675DD">
      <w:pPr>
        <w:spacing w:line="180" w:lineRule="exact"/>
        <w:rPr>
          <w:b/>
        </w:rPr>
      </w:pPr>
    </w:p>
    <w:p w14:paraId="6BAF86C4" w14:textId="77777777" w:rsidR="00E0455F" w:rsidRDefault="00CA6157" w:rsidP="00CA6157">
      <w:pPr>
        <w:tabs>
          <w:tab w:val="left" w:pos="1170"/>
          <w:tab w:val="left" w:pos="2070"/>
          <w:tab w:val="left" w:pos="2430"/>
        </w:tabs>
      </w:pPr>
      <w:r>
        <w:t xml:space="preserve">The main </w:t>
      </w:r>
      <w:r w:rsidR="000C7049">
        <w:t>contributors</w:t>
      </w:r>
      <w:r w:rsidR="006A6C53">
        <w:t xml:space="preserve"> for the net increase in </w:t>
      </w:r>
      <w:r>
        <w:t xml:space="preserve">CPI from December </w:t>
      </w:r>
      <w:r w:rsidR="00B917EE">
        <w:t>2020</w:t>
      </w:r>
      <w:r>
        <w:t xml:space="preserve"> to March </w:t>
      </w:r>
      <w:r w:rsidR="005F00D6">
        <w:t>202</w:t>
      </w:r>
      <w:r w:rsidR="00B917EE">
        <w:t>1</w:t>
      </w:r>
      <w:r>
        <w:t xml:space="preserve"> (Table 2) were:</w:t>
      </w:r>
    </w:p>
    <w:p w14:paraId="47D1F534" w14:textId="77777777" w:rsidR="006A6C53" w:rsidRDefault="006A6C53" w:rsidP="00CA6157">
      <w:pPr>
        <w:tabs>
          <w:tab w:val="left" w:pos="1170"/>
          <w:tab w:val="left" w:pos="2070"/>
          <w:tab w:val="left" w:pos="2430"/>
        </w:tabs>
      </w:pPr>
    </w:p>
    <w:p w14:paraId="5CB8AA39" w14:textId="77777777" w:rsidR="004B6925" w:rsidRDefault="004B6925" w:rsidP="009C7891">
      <w:pPr>
        <w:numPr>
          <w:ilvl w:val="3"/>
          <w:numId w:val="9"/>
        </w:numPr>
        <w:tabs>
          <w:tab w:val="left" w:pos="2070"/>
          <w:tab w:val="left" w:pos="2430"/>
        </w:tabs>
        <w:ind w:left="709" w:hanging="425"/>
      </w:pPr>
      <w:r>
        <w:t>hig</w:t>
      </w:r>
      <w:r w:rsidR="009C7891">
        <w:t>her prices of vegetables (+1.0</w:t>
      </w:r>
      <w:r w:rsidR="00367578">
        <w:t xml:space="preserve"> point</w:t>
      </w:r>
      <w:r>
        <w:t>),</w:t>
      </w:r>
      <w:r w:rsidR="004D57A3">
        <w:t xml:space="preserve"> </w:t>
      </w:r>
      <w:r w:rsidR="009C7891">
        <w:t xml:space="preserve">cooking oil (+0.1 point), culinary herbs </w:t>
      </w:r>
      <w:r w:rsidR="00EA69FB">
        <w:t xml:space="preserve">                 </w:t>
      </w:r>
      <w:proofErr w:type="gramStart"/>
      <w:r w:rsidR="00EA69FB">
        <w:t xml:space="preserve"> </w:t>
      </w:r>
      <w:r w:rsidR="00C61CBF">
        <w:t xml:space="preserve">  (</w:t>
      </w:r>
      <w:proofErr w:type="gramEnd"/>
      <w:r w:rsidR="009C7891">
        <w:t xml:space="preserve">+0.1 point), </w:t>
      </w:r>
      <w:r w:rsidR="005F00D6">
        <w:t xml:space="preserve">traders’ rice (+0.1 point), </w:t>
      </w:r>
      <w:r>
        <w:t>an</w:t>
      </w:r>
      <w:r w:rsidR="004D57A3">
        <w:t>d some other food products (+0.</w:t>
      </w:r>
      <w:r w:rsidR="00EA69FB">
        <w:t>3</w:t>
      </w:r>
      <w:r w:rsidR="004D57A3">
        <w:t xml:space="preserve"> point</w:t>
      </w:r>
      <w:r w:rsidR="00CA6157">
        <w:t>);</w:t>
      </w:r>
    </w:p>
    <w:p w14:paraId="336740D9" w14:textId="77777777" w:rsidR="00434133" w:rsidRDefault="00434133" w:rsidP="009C7891">
      <w:pPr>
        <w:numPr>
          <w:ilvl w:val="3"/>
          <w:numId w:val="9"/>
        </w:numPr>
        <w:tabs>
          <w:tab w:val="left" w:pos="2070"/>
          <w:tab w:val="left" w:pos="2430"/>
        </w:tabs>
        <w:ind w:left="709" w:hanging="425"/>
      </w:pPr>
      <w:r>
        <w:t xml:space="preserve">higher prices of </w:t>
      </w:r>
      <w:r w:rsidRPr="002A3BC9">
        <w:t>washing materials and softeners</w:t>
      </w:r>
      <w:r>
        <w:rPr>
          <w:sz w:val="22"/>
          <w:szCs w:val="22"/>
        </w:rPr>
        <w:t xml:space="preserve"> </w:t>
      </w:r>
      <w:r>
        <w:t>(+0.1 point);</w:t>
      </w:r>
    </w:p>
    <w:p w14:paraId="1B2F8D24" w14:textId="77777777" w:rsidR="00135984" w:rsidRDefault="00135984" w:rsidP="009C7891">
      <w:pPr>
        <w:numPr>
          <w:ilvl w:val="3"/>
          <w:numId w:val="9"/>
        </w:numPr>
        <w:tabs>
          <w:tab w:val="left" w:pos="2070"/>
          <w:tab w:val="left" w:pos="2430"/>
        </w:tabs>
        <w:ind w:left="709" w:hanging="425"/>
      </w:pPr>
      <w:r>
        <w:t xml:space="preserve">higher </w:t>
      </w:r>
      <w:r w:rsidR="000F1DDA">
        <w:t>doctor’s</w:t>
      </w:r>
      <w:r>
        <w:t xml:space="preserve"> fees (+0.1 point);</w:t>
      </w:r>
    </w:p>
    <w:p w14:paraId="0A465C6C" w14:textId="77777777" w:rsidR="000F1DDA" w:rsidRDefault="000F1DDA" w:rsidP="009C7891">
      <w:pPr>
        <w:numPr>
          <w:ilvl w:val="3"/>
          <w:numId w:val="9"/>
        </w:numPr>
        <w:tabs>
          <w:tab w:val="left" w:pos="2070"/>
          <w:tab w:val="left" w:pos="2430"/>
        </w:tabs>
        <w:ind w:left="709" w:hanging="425"/>
      </w:pPr>
      <w:r>
        <w:t>higher prices of motor vehicles (+0.1 point);</w:t>
      </w:r>
    </w:p>
    <w:p w14:paraId="48545381" w14:textId="77777777" w:rsidR="00067A62" w:rsidRDefault="00067A62" w:rsidP="009C7891">
      <w:pPr>
        <w:numPr>
          <w:ilvl w:val="3"/>
          <w:numId w:val="9"/>
        </w:numPr>
        <w:tabs>
          <w:tab w:val="left" w:pos="3060"/>
        </w:tabs>
        <w:ind w:left="709" w:hanging="425"/>
      </w:pPr>
      <w:r>
        <w:t xml:space="preserve">higher prices of </w:t>
      </w:r>
      <w:r w:rsidR="00744450">
        <w:t>goods for personal care</w:t>
      </w:r>
      <w:r w:rsidR="004D57A3">
        <w:t xml:space="preserve"> (+0.1 point)</w:t>
      </w:r>
      <w:r w:rsidR="00D71347">
        <w:t>,</w:t>
      </w:r>
      <w:r w:rsidR="00A8621B">
        <w:t xml:space="preserve"> and</w:t>
      </w:r>
      <w:r w:rsidR="00D71347">
        <w:t>;</w:t>
      </w:r>
    </w:p>
    <w:p w14:paraId="66146583" w14:textId="77777777" w:rsidR="00CA6157" w:rsidRDefault="004B6925" w:rsidP="009C7891">
      <w:pPr>
        <w:numPr>
          <w:ilvl w:val="3"/>
          <w:numId w:val="9"/>
        </w:numPr>
        <w:tabs>
          <w:tab w:val="left" w:pos="3060"/>
        </w:tabs>
        <w:ind w:left="709" w:hanging="425"/>
      </w:pPr>
      <w:r>
        <w:t xml:space="preserve">higher prices of </w:t>
      </w:r>
      <w:r w:rsidR="00067A62">
        <w:t xml:space="preserve">some other goods and services </w:t>
      </w:r>
      <w:r w:rsidR="004D57A3">
        <w:t>(+0.</w:t>
      </w:r>
      <w:r w:rsidR="00434133">
        <w:t>4</w:t>
      </w:r>
      <w:r w:rsidR="004D57A3">
        <w:t xml:space="preserve"> point</w:t>
      </w:r>
      <w:r w:rsidR="00CA6157">
        <w:t>)</w:t>
      </w:r>
      <w:r w:rsidR="00CA6157" w:rsidRPr="00A718BC">
        <w:t>;</w:t>
      </w:r>
    </w:p>
    <w:p w14:paraId="378730C7" w14:textId="77777777" w:rsidR="0069466C" w:rsidRDefault="0069466C" w:rsidP="00F51D31">
      <w:pPr>
        <w:tabs>
          <w:tab w:val="left" w:pos="1170"/>
          <w:tab w:val="left" w:pos="2070"/>
          <w:tab w:val="left" w:pos="2430"/>
        </w:tabs>
      </w:pPr>
    </w:p>
    <w:p w14:paraId="58670221" w14:textId="77777777" w:rsidR="003B6B8C" w:rsidRDefault="00E639C9" w:rsidP="003B6B8C">
      <w:pPr>
        <w:pStyle w:val="Heading3"/>
        <w:numPr>
          <w:ilvl w:val="0"/>
          <w:numId w:val="3"/>
        </w:numPr>
      </w:pPr>
      <w:r>
        <w:t>MOVEMENT OF CPI SUB INDICES</w:t>
      </w:r>
    </w:p>
    <w:p w14:paraId="02C9A2E7" w14:textId="77777777" w:rsidR="0086723C" w:rsidRDefault="0086723C" w:rsidP="00434133">
      <w:pPr>
        <w:spacing w:line="160" w:lineRule="exact"/>
        <w:ind w:left="360"/>
      </w:pPr>
    </w:p>
    <w:p w14:paraId="0C7B3583" w14:textId="77777777" w:rsidR="00F04C6A" w:rsidRDefault="00955B6F" w:rsidP="0086723C">
      <w:pPr>
        <w:ind w:left="288" w:firstLine="288"/>
        <w:rPr>
          <w:b/>
        </w:rPr>
      </w:pPr>
      <w:r>
        <w:t xml:space="preserve">    </w:t>
      </w:r>
      <w:r w:rsidR="004050BE">
        <w:rPr>
          <w:b/>
        </w:rPr>
        <w:tab/>
      </w:r>
      <w:r w:rsidR="00D211C0">
        <w:rPr>
          <w:b/>
        </w:rPr>
        <w:t>Percentage</w:t>
      </w:r>
      <w:r w:rsidR="001824A0" w:rsidRPr="00DB7A28">
        <w:rPr>
          <w:b/>
        </w:rPr>
        <w:t xml:space="preserve"> change </w:t>
      </w:r>
      <w:r w:rsidR="00EE13F6" w:rsidRPr="00DB7A28">
        <w:rPr>
          <w:b/>
        </w:rPr>
        <w:t>in CPI</w:t>
      </w:r>
      <w:r w:rsidR="001824A0" w:rsidRPr="00DB7A28">
        <w:rPr>
          <w:b/>
        </w:rPr>
        <w:t xml:space="preserve"> </w:t>
      </w:r>
      <w:r w:rsidR="00BE2F3E" w:rsidRPr="00DB7A28">
        <w:rPr>
          <w:b/>
        </w:rPr>
        <w:t>sub-indices</w:t>
      </w:r>
      <w:r w:rsidR="00554AE0" w:rsidRPr="00DB7A28">
        <w:rPr>
          <w:b/>
        </w:rPr>
        <w:t xml:space="preserve"> </w:t>
      </w:r>
      <w:r w:rsidR="00616AD7">
        <w:rPr>
          <w:b/>
        </w:rPr>
        <w:t>f</w:t>
      </w:r>
      <w:r w:rsidR="00D211C0">
        <w:rPr>
          <w:b/>
        </w:rPr>
        <w:t xml:space="preserve">rom </w:t>
      </w:r>
      <w:r w:rsidR="00CC2D3C">
        <w:rPr>
          <w:b/>
        </w:rPr>
        <w:t xml:space="preserve">December </w:t>
      </w:r>
      <w:r w:rsidR="00BE2F3E">
        <w:rPr>
          <w:b/>
        </w:rPr>
        <w:t>2020</w:t>
      </w:r>
      <w:r w:rsidR="0086723C">
        <w:rPr>
          <w:b/>
        </w:rPr>
        <w:t xml:space="preserve"> to </w:t>
      </w:r>
      <w:r w:rsidR="00CC2D3C">
        <w:rPr>
          <w:b/>
        </w:rPr>
        <w:t xml:space="preserve">March </w:t>
      </w:r>
      <w:r w:rsidR="00BE2F3E">
        <w:rPr>
          <w:b/>
        </w:rPr>
        <w:t>2021</w:t>
      </w:r>
      <w:r w:rsidR="00D01F81">
        <w:rPr>
          <w:b/>
        </w:rPr>
        <w:t xml:space="preserve">    </w:t>
      </w:r>
    </w:p>
    <w:p w14:paraId="6DC0A1E7" w14:textId="77777777" w:rsidR="005F00D6" w:rsidRPr="0050155C" w:rsidRDefault="00D01F81" w:rsidP="0050155C">
      <w:pPr>
        <w:rPr>
          <w:b/>
        </w:rPr>
      </w:pPr>
      <w:r>
        <w:rPr>
          <w:b/>
        </w:rPr>
        <w:t xml:space="preserve">        </w:t>
      </w:r>
      <w:r w:rsidR="00267754">
        <w:rPr>
          <w:b/>
        </w:rPr>
        <w:t xml:space="preserve">        </w:t>
      </w:r>
    </w:p>
    <w:p w14:paraId="12101E69" w14:textId="77777777" w:rsidR="005F00D6" w:rsidRDefault="000261C6" w:rsidP="0050155C">
      <w:pPr>
        <w:jc w:val="center"/>
      </w:pPr>
      <w:r>
        <w:rPr>
          <w:noProof/>
          <w:lang w:val="en-US"/>
        </w:rPr>
        <w:drawing>
          <wp:inline distT="0" distB="0" distL="0" distR="0" wp14:anchorId="457ED9E5" wp14:editId="2E7A0B0C">
            <wp:extent cx="5791200" cy="3366010"/>
            <wp:effectExtent l="19050" t="1905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0" cy="3366010"/>
                    </a:xfrm>
                    <a:prstGeom prst="rect">
                      <a:avLst/>
                    </a:prstGeom>
                    <a:noFill/>
                    <a:ln>
                      <a:solidFill>
                        <a:schemeClr val="tx1"/>
                      </a:solidFill>
                    </a:ln>
                  </pic:spPr>
                </pic:pic>
              </a:graphicData>
            </a:graphic>
          </wp:inline>
        </w:drawing>
      </w:r>
    </w:p>
    <w:p w14:paraId="0F6B644F" w14:textId="77777777" w:rsidR="000261C6" w:rsidRDefault="000261C6" w:rsidP="0050155C">
      <w:pPr>
        <w:jc w:val="center"/>
      </w:pPr>
    </w:p>
    <w:p w14:paraId="25F3ED16" w14:textId="77777777" w:rsidR="000261C6" w:rsidRDefault="000261C6" w:rsidP="0050155C">
      <w:pPr>
        <w:jc w:val="center"/>
      </w:pPr>
    </w:p>
    <w:p w14:paraId="19DB3C49" w14:textId="77777777" w:rsidR="000261C6" w:rsidRDefault="000261C6" w:rsidP="0050155C">
      <w:pPr>
        <w:jc w:val="center"/>
      </w:pPr>
    </w:p>
    <w:p w14:paraId="0AA48774" w14:textId="77777777" w:rsidR="000261C6" w:rsidRDefault="000261C6" w:rsidP="0050155C">
      <w:pPr>
        <w:jc w:val="center"/>
      </w:pPr>
    </w:p>
    <w:p w14:paraId="64ED12D4" w14:textId="77777777" w:rsidR="005F00D6" w:rsidRDefault="005F00D6" w:rsidP="007243C9"/>
    <w:p w14:paraId="75F836DD" w14:textId="77777777" w:rsidR="007243C9" w:rsidRDefault="00194871" w:rsidP="007243C9">
      <w:r>
        <w:t xml:space="preserve">The </w:t>
      </w:r>
      <w:r w:rsidR="000931CD">
        <w:t xml:space="preserve">changes in </w:t>
      </w:r>
      <w:r>
        <w:t>the sub-indices</w:t>
      </w:r>
      <w:r w:rsidR="003C2B71">
        <w:t xml:space="preserve"> (Table 3)</w:t>
      </w:r>
      <w:r>
        <w:t xml:space="preserve"> for the twelve divisions of consumption expenditure </w:t>
      </w:r>
      <w:r w:rsidR="00D211C0">
        <w:t xml:space="preserve">from </w:t>
      </w:r>
      <w:r w:rsidR="00CA6157">
        <w:t xml:space="preserve">December </w:t>
      </w:r>
      <w:r w:rsidR="00B11A39">
        <w:t>2020</w:t>
      </w:r>
      <w:r w:rsidR="00D211C0">
        <w:t xml:space="preserve"> </w:t>
      </w:r>
      <w:r w:rsidR="00CA6157">
        <w:t>to March</w:t>
      </w:r>
      <w:r w:rsidR="00707A7F">
        <w:t xml:space="preserve"> </w:t>
      </w:r>
      <w:r w:rsidR="00B11A39">
        <w:t>2021</w:t>
      </w:r>
      <w:r w:rsidR="00DD2F12">
        <w:t xml:space="preserve"> </w:t>
      </w:r>
      <w:r w:rsidR="000931CD">
        <w:t>were as follows</w:t>
      </w:r>
      <w:r>
        <w:t>:</w:t>
      </w:r>
    </w:p>
    <w:p w14:paraId="4E5DB30C" w14:textId="77777777" w:rsidR="00F56FBD" w:rsidRDefault="00F56FBD" w:rsidP="007243C9"/>
    <w:tbl>
      <w:tblPr>
        <w:tblW w:w="9683" w:type="dxa"/>
        <w:tblCellSpacing w:w="14" w:type="dxa"/>
        <w:tblCellMar>
          <w:left w:w="115" w:type="dxa"/>
          <w:right w:w="115" w:type="dxa"/>
        </w:tblCellMar>
        <w:tblLook w:val="0000" w:firstRow="0" w:lastRow="0" w:firstColumn="0" w:lastColumn="0" w:noHBand="0" w:noVBand="0"/>
      </w:tblPr>
      <w:tblGrid>
        <w:gridCol w:w="4823"/>
        <w:gridCol w:w="4860"/>
      </w:tblGrid>
      <w:tr w:rsidR="00F56FBD" w:rsidRPr="00981D11" w14:paraId="7ED129E2" w14:textId="77777777" w:rsidTr="00E66D0C">
        <w:trPr>
          <w:trHeight w:val="215"/>
          <w:tblCellSpacing w:w="14" w:type="dxa"/>
        </w:trPr>
        <w:tc>
          <w:tcPr>
            <w:tcW w:w="4781" w:type="dxa"/>
          </w:tcPr>
          <w:p w14:paraId="7BAAA973" w14:textId="77777777" w:rsidR="00F56FBD" w:rsidRDefault="00F56FBD" w:rsidP="00E66D0C">
            <w:pPr>
              <w:jc w:val="center"/>
              <w:rPr>
                <w:u w:val="single"/>
              </w:rPr>
            </w:pPr>
            <w:r w:rsidRPr="0074775D">
              <w:rPr>
                <w:u w:val="single"/>
              </w:rPr>
              <w:t>Division of consumption expenditure</w:t>
            </w:r>
          </w:p>
          <w:p w14:paraId="5D3395AA" w14:textId="77777777" w:rsidR="00F56FBD" w:rsidRPr="00DB1833" w:rsidRDefault="00F56FBD" w:rsidP="00E66D0C">
            <w:pPr>
              <w:rPr>
                <w:i/>
              </w:rPr>
            </w:pPr>
          </w:p>
        </w:tc>
        <w:tc>
          <w:tcPr>
            <w:tcW w:w="4818" w:type="dxa"/>
          </w:tcPr>
          <w:p w14:paraId="1F018263" w14:textId="77777777" w:rsidR="00F56FBD" w:rsidRDefault="00F56FBD" w:rsidP="00E66D0C">
            <w:pPr>
              <w:ind w:left="-115"/>
              <w:rPr>
                <w:u w:val="single"/>
              </w:rPr>
            </w:pPr>
            <w:r w:rsidRPr="0074775D">
              <w:rPr>
                <w:u w:val="single"/>
              </w:rPr>
              <w:t>Main contributors to change</w:t>
            </w:r>
          </w:p>
          <w:p w14:paraId="17F3CB76" w14:textId="77777777" w:rsidR="00F56FBD" w:rsidRDefault="00F56FBD" w:rsidP="00E66D0C">
            <w:pPr>
              <w:ind w:left="-115"/>
            </w:pPr>
          </w:p>
        </w:tc>
      </w:tr>
      <w:tr w:rsidR="00F56FBD" w:rsidRPr="00981D11" w14:paraId="581AD79B" w14:textId="77777777" w:rsidTr="00E66D0C">
        <w:trPr>
          <w:trHeight w:val="1156"/>
          <w:tblCellSpacing w:w="14" w:type="dxa"/>
        </w:trPr>
        <w:tc>
          <w:tcPr>
            <w:tcW w:w="4781" w:type="dxa"/>
          </w:tcPr>
          <w:p w14:paraId="3940AFE6" w14:textId="77777777" w:rsidR="00F56FBD" w:rsidRPr="00DB1833" w:rsidRDefault="00F56FBD" w:rsidP="00E66D0C">
            <w:r w:rsidRPr="00DB1833">
              <w:rPr>
                <w:i/>
              </w:rPr>
              <w:t>Food and non-alcoholic beverages (</w:t>
            </w:r>
            <w:r w:rsidR="003B61D1">
              <w:rPr>
                <w:i/>
              </w:rPr>
              <w:t>+5.8</w:t>
            </w:r>
            <w:r w:rsidRPr="00DB1833">
              <w:rPr>
                <w:i/>
              </w:rPr>
              <w:t>%)</w:t>
            </w:r>
          </w:p>
        </w:tc>
        <w:tc>
          <w:tcPr>
            <w:tcW w:w="4818" w:type="dxa"/>
          </w:tcPr>
          <w:p w14:paraId="01A8DA82" w14:textId="77777777" w:rsidR="00F56FBD" w:rsidRDefault="00D30C0D" w:rsidP="00E66D0C">
            <w:pPr>
              <w:ind w:left="-115"/>
            </w:pPr>
            <w:r>
              <w:t>Higher</w:t>
            </w:r>
            <w:r w:rsidR="00F56FBD" w:rsidRPr="00981D11">
              <w:t xml:space="preserve"> prices of </w:t>
            </w:r>
            <w:r w:rsidR="001B03F6">
              <w:t>vegetables (+21.7</w:t>
            </w:r>
            <w:r w:rsidR="00F56FBD">
              <w:t xml:space="preserve">%), </w:t>
            </w:r>
            <w:r w:rsidR="001B03F6">
              <w:t xml:space="preserve">cooking oil (+17.9%), </w:t>
            </w:r>
            <w:r w:rsidR="005E146D">
              <w:t>culinary herbs (+</w:t>
            </w:r>
            <w:r w:rsidR="001B03F6">
              <w:t>43.7</w:t>
            </w:r>
            <w:r w:rsidR="00F56FBD">
              <w:t>%),</w:t>
            </w:r>
            <w:r>
              <w:t xml:space="preserve"> </w:t>
            </w:r>
            <w:r w:rsidR="001511A2">
              <w:t>traders’ rice (+5.3%),</w:t>
            </w:r>
            <w:r w:rsidR="004F0F60">
              <w:t xml:space="preserve"> fruits (+2.8%)</w:t>
            </w:r>
            <w:r w:rsidR="00682640">
              <w:t>, i</w:t>
            </w:r>
            <w:r w:rsidR="00682640" w:rsidRPr="00682640">
              <w:t>ce cream &amp; sweets</w:t>
            </w:r>
            <w:r w:rsidR="00682640">
              <w:t xml:space="preserve"> (+14.2%), </w:t>
            </w:r>
            <w:r w:rsidR="0088373D">
              <w:t xml:space="preserve">biscuits (+6.4%), </w:t>
            </w:r>
            <w:r w:rsidR="00744126">
              <w:t>m</w:t>
            </w:r>
            <w:r w:rsidR="0088373D" w:rsidRPr="0088373D">
              <w:t>argarine &amp; ghee</w:t>
            </w:r>
            <w:r w:rsidR="0088373D">
              <w:t xml:space="preserve"> (+10.3%)</w:t>
            </w:r>
            <w:r w:rsidR="00AD1135">
              <w:t xml:space="preserve"> and </w:t>
            </w:r>
            <w:r w:rsidR="001B10FA">
              <w:t>ginger (+19.7%)</w:t>
            </w:r>
            <w:r w:rsidR="002E20BD">
              <w:t>.</w:t>
            </w:r>
          </w:p>
          <w:p w14:paraId="45D3596F" w14:textId="77777777" w:rsidR="00F56FBD" w:rsidRPr="00981D11" w:rsidRDefault="00F56FBD" w:rsidP="00E66D0C">
            <w:pPr>
              <w:ind w:left="-115"/>
            </w:pPr>
          </w:p>
        </w:tc>
      </w:tr>
      <w:tr w:rsidR="00F56FBD" w:rsidRPr="00981D11" w14:paraId="354540BF" w14:textId="77777777" w:rsidTr="00E66D0C">
        <w:trPr>
          <w:trHeight w:val="589"/>
          <w:tblCellSpacing w:w="14" w:type="dxa"/>
        </w:trPr>
        <w:tc>
          <w:tcPr>
            <w:tcW w:w="4781" w:type="dxa"/>
          </w:tcPr>
          <w:p w14:paraId="18CE4A46" w14:textId="77777777" w:rsidR="00F56FBD" w:rsidRPr="00DB1833" w:rsidRDefault="00F56FBD" w:rsidP="00E66D0C">
            <w:r w:rsidRPr="00DB1833">
              <w:rPr>
                <w:i/>
              </w:rPr>
              <w:t>Alcoholic beverages and tobacco (+</w:t>
            </w:r>
            <w:r w:rsidR="003B61D1">
              <w:rPr>
                <w:i/>
              </w:rPr>
              <w:t>0.5</w:t>
            </w:r>
            <w:r w:rsidRPr="00DB1833">
              <w:rPr>
                <w:i/>
              </w:rPr>
              <w:t xml:space="preserve">%) </w:t>
            </w:r>
          </w:p>
        </w:tc>
        <w:tc>
          <w:tcPr>
            <w:tcW w:w="4818" w:type="dxa"/>
          </w:tcPr>
          <w:p w14:paraId="3D0427A9" w14:textId="77777777" w:rsidR="00F56FBD" w:rsidRDefault="00F56FBD" w:rsidP="00E66D0C">
            <w:pPr>
              <w:ind w:left="-115"/>
            </w:pPr>
            <w:r>
              <w:t xml:space="preserve">Higher prices of </w:t>
            </w:r>
            <w:r w:rsidRPr="00385A9C">
              <w:t>whisky (+</w:t>
            </w:r>
            <w:r w:rsidR="00120815">
              <w:t>3.4</w:t>
            </w:r>
            <w:r w:rsidRPr="00385A9C">
              <w:t>%),</w:t>
            </w:r>
            <w:r>
              <w:t xml:space="preserve"> </w:t>
            </w:r>
            <w:r w:rsidR="00120815">
              <w:t>w</w:t>
            </w:r>
            <w:r w:rsidR="00A12D16">
              <w:t>ine (+</w:t>
            </w:r>
            <w:r w:rsidR="00120815">
              <w:t>4.0</w:t>
            </w:r>
            <w:r w:rsidR="00A12D16">
              <w:t>%)</w:t>
            </w:r>
            <w:r w:rsidR="00120815">
              <w:t xml:space="preserve"> and rum and other cane spirits (+</w:t>
            </w:r>
            <w:r w:rsidR="006D0433">
              <w:t>0.6</w:t>
            </w:r>
            <w:r w:rsidR="00120815">
              <w:t>%)</w:t>
            </w:r>
            <w:r w:rsidR="00E53E49">
              <w:t>, partly offset by lower prices of beer &amp; s</w:t>
            </w:r>
            <w:r w:rsidR="00E53E49" w:rsidRPr="00E53E49">
              <w:t>tout</w:t>
            </w:r>
            <w:r w:rsidR="00E53E49">
              <w:t xml:space="preserve"> (-0.1%). </w:t>
            </w:r>
          </w:p>
          <w:p w14:paraId="63725C21" w14:textId="77777777" w:rsidR="00F56FBD" w:rsidRPr="00981D11" w:rsidRDefault="00F56FBD" w:rsidP="00E66D0C">
            <w:pPr>
              <w:ind w:left="-115"/>
            </w:pPr>
          </w:p>
        </w:tc>
      </w:tr>
      <w:tr w:rsidR="00F56FBD" w:rsidRPr="00981D11" w14:paraId="50914BB0" w14:textId="77777777" w:rsidTr="00B5571E">
        <w:trPr>
          <w:trHeight w:val="598"/>
          <w:tblCellSpacing w:w="14" w:type="dxa"/>
        </w:trPr>
        <w:tc>
          <w:tcPr>
            <w:tcW w:w="4781" w:type="dxa"/>
          </w:tcPr>
          <w:p w14:paraId="3CD1A24C" w14:textId="77777777" w:rsidR="00F56FBD" w:rsidRPr="00DB1833" w:rsidRDefault="00F56FBD" w:rsidP="00E66D0C">
            <w:pPr>
              <w:rPr>
                <w:i/>
              </w:rPr>
            </w:pPr>
            <w:r w:rsidRPr="00DB1833">
              <w:rPr>
                <w:i/>
              </w:rPr>
              <w:t>Clothing and footwear (+</w:t>
            </w:r>
            <w:r w:rsidR="003B61D1">
              <w:rPr>
                <w:i/>
              </w:rPr>
              <w:t>0.7</w:t>
            </w:r>
            <w:r w:rsidRPr="00DB1833">
              <w:rPr>
                <w:i/>
              </w:rPr>
              <w:t>%)</w:t>
            </w:r>
          </w:p>
        </w:tc>
        <w:tc>
          <w:tcPr>
            <w:tcW w:w="4818" w:type="dxa"/>
          </w:tcPr>
          <w:p w14:paraId="514C1F51" w14:textId="77777777" w:rsidR="00F56FBD" w:rsidRDefault="00F56FBD" w:rsidP="00A12D16">
            <w:pPr>
              <w:ind w:left="-115"/>
            </w:pPr>
            <w:r>
              <w:t xml:space="preserve">Higher prices of </w:t>
            </w:r>
            <w:r w:rsidR="00A12D16">
              <w:t>ready-</w:t>
            </w:r>
            <w:r w:rsidR="00A12D16" w:rsidRPr="00A12D16">
              <w:t>made clothing (+</w:t>
            </w:r>
            <w:r w:rsidR="00134B4D">
              <w:t>1.0</w:t>
            </w:r>
            <w:r w:rsidR="00A12D16" w:rsidRPr="00A12D16">
              <w:t>%).</w:t>
            </w:r>
          </w:p>
          <w:p w14:paraId="705A3ADE" w14:textId="77777777" w:rsidR="00B5571E" w:rsidRPr="00981D11" w:rsidRDefault="00B5571E" w:rsidP="00A12D16">
            <w:pPr>
              <w:ind w:left="-115"/>
            </w:pPr>
          </w:p>
        </w:tc>
      </w:tr>
      <w:tr w:rsidR="00F56FBD" w:rsidRPr="00981D11" w14:paraId="58270649" w14:textId="77777777" w:rsidTr="00E66D0C">
        <w:trPr>
          <w:trHeight w:val="733"/>
          <w:tblCellSpacing w:w="14" w:type="dxa"/>
        </w:trPr>
        <w:tc>
          <w:tcPr>
            <w:tcW w:w="4781" w:type="dxa"/>
          </w:tcPr>
          <w:p w14:paraId="71116E49" w14:textId="77777777" w:rsidR="00F56FBD" w:rsidRPr="00DB1833" w:rsidRDefault="00F56FBD" w:rsidP="00E66D0C">
            <w:pPr>
              <w:rPr>
                <w:i/>
              </w:rPr>
            </w:pPr>
            <w:r w:rsidRPr="00DB1833">
              <w:rPr>
                <w:i/>
              </w:rPr>
              <w:t>Housing, water, electricity, gas</w:t>
            </w:r>
          </w:p>
          <w:p w14:paraId="44C0CE12" w14:textId="77777777" w:rsidR="00F56FBD" w:rsidRPr="00DB1833" w:rsidRDefault="00F56FBD" w:rsidP="003B61D1">
            <w:pPr>
              <w:rPr>
                <w:i/>
              </w:rPr>
            </w:pPr>
            <w:r w:rsidRPr="00DB1833">
              <w:rPr>
                <w:i/>
              </w:rPr>
              <w:t xml:space="preserve">and other fuels </w:t>
            </w:r>
            <w:r>
              <w:rPr>
                <w:i/>
              </w:rPr>
              <w:t>(+0.</w:t>
            </w:r>
            <w:r w:rsidR="003B61D1">
              <w:rPr>
                <w:i/>
              </w:rPr>
              <w:t>2</w:t>
            </w:r>
            <w:r>
              <w:rPr>
                <w:i/>
              </w:rPr>
              <w:t>%)</w:t>
            </w:r>
          </w:p>
        </w:tc>
        <w:tc>
          <w:tcPr>
            <w:tcW w:w="4818" w:type="dxa"/>
          </w:tcPr>
          <w:p w14:paraId="33AE6394" w14:textId="77777777" w:rsidR="00F56FBD" w:rsidRDefault="00B5571E" w:rsidP="00E66D0C">
            <w:pPr>
              <w:ind w:left="-115"/>
            </w:pPr>
            <w:r w:rsidRPr="00154C52">
              <w:t>Higher workman’s wages (+</w:t>
            </w:r>
            <w:r w:rsidR="00342D1F" w:rsidRPr="00154C52">
              <w:t>1.4</w:t>
            </w:r>
            <w:r w:rsidRPr="00154C52">
              <w:t xml:space="preserve">%) and </w:t>
            </w:r>
            <w:r>
              <w:t>higher prices of materials for the maintenan</w:t>
            </w:r>
            <w:r w:rsidR="00CC3CBB">
              <w:t>ce and repair of dwellings (+0.7</w:t>
            </w:r>
            <w:r>
              <w:t>%)</w:t>
            </w:r>
            <w:r w:rsidR="00CC3CBB" w:rsidRPr="00154C52">
              <w:t>.</w:t>
            </w:r>
          </w:p>
          <w:p w14:paraId="442EF2D7" w14:textId="77777777" w:rsidR="00F56FBD" w:rsidRPr="00981D11" w:rsidRDefault="00F56FBD" w:rsidP="00E66D0C">
            <w:pPr>
              <w:ind w:left="-115"/>
            </w:pPr>
          </w:p>
        </w:tc>
      </w:tr>
      <w:tr w:rsidR="00F56FBD" w:rsidRPr="00981D11" w14:paraId="017D5624" w14:textId="77777777" w:rsidTr="00E66D0C">
        <w:trPr>
          <w:trHeight w:val="724"/>
          <w:tblCellSpacing w:w="14" w:type="dxa"/>
        </w:trPr>
        <w:tc>
          <w:tcPr>
            <w:tcW w:w="4781" w:type="dxa"/>
          </w:tcPr>
          <w:p w14:paraId="6C28F2BD" w14:textId="77777777" w:rsidR="00F56FBD" w:rsidRPr="00DB1833" w:rsidRDefault="00F56FBD" w:rsidP="00E66D0C">
            <w:pPr>
              <w:pStyle w:val="Heading3"/>
              <w:rPr>
                <w:i/>
                <w:iCs/>
                <w:sz w:val="24"/>
              </w:rPr>
            </w:pPr>
            <w:r w:rsidRPr="00DB1833">
              <w:rPr>
                <w:b w:val="0"/>
                <w:i/>
                <w:sz w:val="24"/>
              </w:rPr>
              <w:t>Furnishings, household equipment and routine household maintenance (</w:t>
            </w:r>
            <w:r w:rsidR="003B61D1">
              <w:rPr>
                <w:b w:val="0"/>
                <w:i/>
                <w:sz w:val="24"/>
              </w:rPr>
              <w:t>+3.4</w:t>
            </w:r>
            <w:r w:rsidRPr="00DB1833">
              <w:rPr>
                <w:b w:val="0"/>
                <w:i/>
                <w:sz w:val="24"/>
              </w:rPr>
              <w:t>%)</w:t>
            </w:r>
          </w:p>
        </w:tc>
        <w:tc>
          <w:tcPr>
            <w:tcW w:w="4818" w:type="dxa"/>
          </w:tcPr>
          <w:p w14:paraId="79F51CCA" w14:textId="77777777" w:rsidR="00F56FBD" w:rsidRDefault="00F56FBD" w:rsidP="00E66D0C">
            <w:pPr>
              <w:ind w:left="-115"/>
            </w:pPr>
            <w:r>
              <w:t>Higher prices of washi</w:t>
            </w:r>
            <w:r w:rsidR="00A12B46">
              <w:t>ng materials and softeners (+6.8%)</w:t>
            </w:r>
            <w:r w:rsidR="00EF2410">
              <w:t xml:space="preserve"> and</w:t>
            </w:r>
            <w:r w:rsidR="00472BE1">
              <w:t xml:space="preserve"> </w:t>
            </w:r>
            <w:r w:rsidR="00B744CD" w:rsidRPr="00325B9F">
              <w:t xml:space="preserve">furniture (+2.6%), and </w:t>
            </w:r>
            <w:r w:rsidR="00472BE1" w:rsidRPr="00325B9F">
              <w:t>higher charges for domestic services (+5.0%)</w:t>
            </w:r>
            <w:r w:rsidR="00472BE1">
              <w:t>.</w:t>
            </w:r>
          </w:p>
          <w:p w14:paraId="4B5E7362" w14:textId="77777777" w:rsidR="00F56FBD" w:rsidRPr="00981D11" w:rsidRDefault="00F56FBD" w:rsidP="00E66D0C">
            <w:pPr>
              <w:ind w:left="-115"/>
            </w:pPr>
          </w:p>
        </w:tc>
      </w:tr>
      <w:tr w:rsidR="00F56FBD" w:rsidRPr="00981D11" w14:paraId="1B182E49" w14:textId="77777777" w:rsidTr="00E66D0C">
        <w:trPr>
          <w:trHeight w:val="229"/>
          <w:tblCellSpacing w:w="14" w:type="dxa"/>
        </w:trPr>
        <w:tc>
          <w:tcPr>
            <w:tcW w:w="4781" w:type="dxa"/>
          </w:tcPr>
          <w:p w14:paraId="405E46E5" w14:textId="77777777" w:rsidR="00F56FBD" w:rsidRPr="00DB1833" w:rsidRDefault="003B61D1" w:rsidP="00E66D0C">
            <w:pPr>
              <w:pStyle w:val="Heading3"/>
              <w:rPr>
                <w:b w:val="0"/>
                <w:sz w:val="24"/>
              </w:rPr>
            </w:pPr>
            <w:r>
              <w:rPr>
                <w:b w:val="0"/>
                <w:i/>
                <w:sz w:val="24"/>
              </w:rPr>
              <w:t>Health (+2.7</w:t>
            </w:r>
            <w:r w:rsidR="00F56FBD" w:rsidRPr="00DB1833">
              <w:rPr>
                <w:b w:val="0"/>
                <w:i/>
                <w:sz w:val="24"/>
              </w:rPr>
              <w:t>%)</w:t>
            </w:r>
          </w:p>
        </w:tc>
        <w:tc>
          <w:tcPr>
            <w:tcW w:w="4818" w:type="dxa"/>
          </w:tcPr>
          <w:p w14:paraId="7BD29249" w14:textId="77777777" w:rsidR="00F56FBD" w:rsidRPr="00385A9C" w:rsidRDefault="00F56FBD" w:rsidP="00E66D0C">
            <w:pPr>
              <w:ind w:left="-115"/>
            </w:pPr>
            <w:r w:rsidRPr="00385A9C">
              <w:t>H</w:t>
            </w:r>
            <w:r>
              <w:t>igher</w:t>
            </w:r>
            <w:r w:rsidR="00C414C5">
              <w:t xml:space="preserve"> </w:t>
            </w:r>
            <w:r w:rsidR="00C414C5" w:rsidRPr="00E406C5">
              <w:t>doctor’s fees (+</w:t>
            </w:r>
            <w:r w:rsidR="00510E04" w:rsidRPr="00E406C5">
              <w:t>5.3</w:t>
            </w:r>
            <w:r w:rsidR="00C414C5" w:rsidRPr="00E406C5">
              <w:t xml:space="preserve">%) </w:t>
            </w:r>
            <w:r w:rsidR="006A72B8" w:rsidRPr="00E406C5">
              <w:t xml:space="preserve">and </w:t>
            </w:r>
            <w:r w:rsidR="00E406C5" w:rsidRPr="00E406C5">
              <w:t>higher</w:t>
            </w:r>
            <w:r w:rsidR="00C414C5" w:rsidRPr="00E406C5">
              <w:t xml:space="preserve"> </w:t>
            </w:r>
            <w:r>
              <w:t xml:space="preserve">prices of </w:t>
            </w:r>
            <w:r w:rsidR="00E406C5">
              <w:t xml:space="preserve">some </w:t>
            </w:r>
            <w:r>
              <w:t>medicinal products (+</w:t>
            </w:r>
            <w:r w:rsidR="00F02C41">
              <w:t>1.9</w:t>
            </w:r>
            <w:r w:rsidRPr="00385A9C">
              <w:t>%).</w:t>
            </w:r>
          </w:p>
          <w:p w14:paraId="5842F0AE" w14:textId="77777777" w:rsidR="00F56FBD" w:rsidRPr="009C600E" w:rsidRDefault="00F56FBD" w:rsidP="00E66D0C"/>
        </w:tc>
      </w:tr>
      <w:tr w:rsidR="00F56FBD" w:rsidRPr="00981D11" w14:paraId="3FBA8286" w14:textId="77777777" w:rsidTr="005602E3">
        <w:trPr>
          <w:trHeight w:val="841"/>
          <w:tblCellSpacing w:w="14" w:type="dxa"/>
        </w:trPr>
        <w:tc>
          <w:tcPr>
            <w:tcW w:w="4781" w:type="dxa"/>
          </w:tcPr>
          <w:p w14:paraId="09B46FA7" w14:textId="77777777" w:rsidR="00F56FBD" w:rsidRPr="00DB1833" w:rsidRDefault="00F56FBD" w:rsidP="00E66D0C">
            <w:pPr>
              <w:pStyle w:val="Heading3"/>
              <w:rPr>
                <w:b w:val="0"/>
                <w:i/>
                <w:sz w:val="24"/>
              </w:rPr>
            </w:pPr>
            <w:r w:rsidRPr="00DB1833">
              <w:rPr>
                <w:b w:val="0"/>
                <w:i/>
                <w:sz w:val="24"/>
              </w:rPr>
              <w:t>Transport (</w:t>
            </w:r>
            <w:r w:rsidR="003B61D1">
              <w:rPr>
                <w:b w:val="0"/>
                <w:i/>
                <w:sz w:val="24"/>
              </w:rPr>
              <w:t>+</w:t>
            </w:r>
            <w:r>
              <w:rPr>
                <w:b w:val="0"/>
                <w:i/>
                <w:sz w:val="24"/>
              </w:rPr>
              <w:t>0.6</w:t>
            </w:r>
            <w:r w:rsidRPr="00DB1833">
              <w:rPr>
                <w:b w:val="0"/>
                <w:i/>
                <w:sz w:val="24"/>
              </w:rPr>
              <w:t>%)</w:t>
            </w:r>
          </w:p>
          <w:p w14:paraId="6A2C17EE" w14:textId="77777777" w:rsidR="00F56FBD" w:rsidRPr="00DB1833" w:rsidRDefault="00F56FBD" w:rsidP="00E66D0C"/>
        </w:tc>
        <w:tc>
          <w:tcPr>
            <w:tcW w:w="4818" w:type="dxa"/>
          </w:tcPr>
          <w:p w14:paraId="389F037E" w14:textId="77777777" w:rsidR="00F56FBD" w:rsidRDefault="004552F4" w:rsidP="00E66D0C">
            <w:pPr>
              <w:ind w:left="-115"/>
            </w:pPr>
            <w:r>
              <w:t>Higher</w:t>
            </w:r>
            <w:r w:rsidR="00F56FBD">
              <w:t xml:space="preserve"> prices of </w:t>
            </w:r>
            <w:r>
              <w:t>motor vehicles (+1.3%), s</w:t>
            </w:r>
            <w:r w:rsidRPr="004552F4">
              <w:t>pare parts &amp; accessories</w:t>
            </w:r>
            <w:r>
              <w:t xml:space="preserve"> (+2.4%)</w:t>
            </w:r>
            <w:r w:rsidR="00ED1A06">
              <w:t xml:space="preserve"> and air-tickets (+0.3%).</w:t>
            </w:r>
          </w:p>
          <w:p w14:paraId="4755C02E" w14:textId="77777777" w:rsidR="00F56FBD" w:rsidRPr="007F57E3" w:rsidRDefault="00F56FBD" w:rsidP="00E66D0C">
            <w:pPr>
              <w:ind w:left="-115"/>
            </w:pPr>
          </w:p>
        </w:tc>
      </w:tr>
      <w:tr w:rsidR="00F56FBD" w:rsidRPr="00981D11" w14:paraId="7C81575C" w14:textId="77777777" w:rsidTr="00E66D0C">
        <w:trPr>
          <w:trHeight w:val="499"/>
          <w:tblCellSpacing w:w="14" w:type="dxa"/>
        </w:trPr>
        <w:tc>
          <w:tcPr>
            <w:tcW w:w="4781" w:type="dxa"/>
          </w:tcPr>
          <w:p w14:paraId="712E120A" w14:textId="77777777" w:rsidR="00F56FBD" w:rsidRPr="00DB1833" w:rsidRDefault="00F56FBD" w:rsidP="00E66D0C">
            <w:pPr>
              <w:pStyle w:val="Heading3"/>
              <w:rPr>
                <w:b w:val="0"/>
                <w:i/>
                <w:sz w:val="24"/>
              </w:rPr>
            </w:pPr>
            <w:r>
              <w:rPr>
                <w:b w:val="0"/>
                <w:i/>
                <w:sz w:val="24"/>
              </w:rPr>
              <w:t xml:space="preserve">Communication </w:t>
            </w:r>
            <w:r w:rsidRPr="00DB1833">
              <w:rPr>
                <w:i/>
                <w:sz w:val="24"/>
              </w:rPr>
              <w:t>(</w:t>
            </w:r>
            <w:r w:rsidR="003B61D1">
              <w:rPr>
                <w:b w:val="0"/>
                <w:i/>
                <w:sz w:val="24"/>
              </w:rPr>
              <w:t>+0.2</w:t>
            </w:r>
            <w:r w:rsidRPr="00924947">
              <w:rPr>
                <w:b w:val="0"/>
                <w:i/>
                <w:sz w:val="24"/>
              </w:rPr>
              <w:t>%)</w:t>
            </w:r>
          </w:p>
          <w:p w14:paraId="0F76EECA" w14:textId="77777777" w:rsidR="00F56FBD" w:rsidRPr="00DB1833" w:rsidRDefault="00F56FBD" w:rsidP="00E66D0C"/>
        </w:tc>
        <w:tc>
          <w:tcPr>
            <w:tcW w:w="4818" w:type="dxa"/>
          </w:tcPr>
          <w:p w14:paraId="60B37740" w14:textId="77777777" w:rsidR="00F56FBD" w:rsidRDefault="00776962" w:rsidP="00E66D0C">
            <w:pPr>
              <w:ind w:left="-115"/>
            </w:pPr>
            <w:r>
              <w:t>Higher prices of mobile phones (+1.5</w:t>
            </w:r>
            <w:r w:rsidR="00F56FBD">
              <w:t>%).</w:t>
            </w:r>
          </w:p>
          <w:p w14:paraId="5FF2B11C" w14:textId="77777777" w:rsidR="00F56FBD" w:rsidRPr="00981D11" w:rsidRDefault="00F56FBD" w:rsidP="00E66D0C">
            <w:pPr>
              <w:ind w:left="-115"/>
            </w:pPr>
          </w:p>
        </w:tc>
      </w:tr>
      <w:tr w:rsidR="00F56FBD" w:rsidRPr="00981D11" w14:paraId="28CBAD08" w14:textId="77777777" w:rsidTr="00E66D0C">
        <w:trPr>
          <w:trHeight w:val="643"/>
          <w:tblCellSpacing w:w="14" w:type="dxa"/>
        </w:trPr>
        <w:tc>
          <w:tcPr>
            <w:tcW w:w="4781" w:type="dxa"/>
          </w:tcPr>
          <w:p w14:paraId="09015C9C" w14:textId="77777777" w:rsidR="00F56FBD" w:rsidRPr="00DB1833" w:rsidRDefault="00F56FBD" w:rsidP="00E66D0C">
            <w:r w:rsidRPr="00DB1833">
              <w:rPr>
                <w:i/>
              </w:rPr>
              <w:t>Recreation and culture (</w:t>
            </w:r>
            <w:r w:rsidR="003B61D1">
              <w:rPr>
                <w:i/>
              </w:rPr>
              <w:t>+1.5</w:t>
            </w:r>
            <w:r w:rsidRPr="00DB1833">
              <w:rPr>
                <w:i/>
              </w:rPr>
              <w:t>%)</w:t>
            </w:r>
          </w:p>
        </w:tc>
        <w:tc>
          <w:tcPr>
            <w:tcW w:w="4818" w:type="dxa"/>
          </w:tcPr>
          <w:p w14:paraId="144A8DA3" w14:textId="77777777" w:rsidR="00D13C94" w:rsidRDefault="00D13C94" w:rsidP="00D13C94">
            <w:pPr>
              <w:ind w:left="-115"/>
              <w:rPr>
                <w:lang w:val="en-US"/>
              </w:rPr>
            </w:pPr>
            <w:r>
              <w:t xml:space="preserve">Higher </w:t>
            </w:r>
            <w:r w:rsidR="00FF06B9">
              <w:rPr>
                <w:lang w:val="en-US"/>
              </w:rPr>
              <w:t>prices of</w:t>
            </w:r>
            <w:r>
              <w:rPr>
                <w:lang w:val="en-US"/>
              </w:rPr>
              <w:t xml:space="preserve"> </w:t>
            </w:r>
            <w:r w:rsidR="004413B6">
              <w:rPr>
                <w:lang w:val="en-US"/>
              </w:rPr>
              <w:t>i</w:t>
            </w:r>
            <w:r w:rsidR="004413B6" w:rsidRPr="004413B6">
              <w:rPr>
                <w:lang w:val="en-US"/>
              </w:rPr>
              <w:t>nformation processing equipment</w:t>
            </w:r>
            <w:r w:rsidR="004413B6">
              <w:rPr>
                <w:lang w:val="en-US"/>
              </w:rPr>
              <w:t xml:space="preserve"> (+6.4%), </w:t>
            </w:r>
            <w:r w:rsidR="00BD4F6D">
              <w:rPr>
                <w:lang w:val="en-US"/>
              </w:rPr>
              <w:t>private TV</w:t>
            </w:r>
            <w:r w:rsidR="004350A8">
              <w:rPr>
                <w:lang w:val="en-US"/>
              </w:rPr>
              <w:t xml:space="preserve"> subscription</w:t>
            </w:r>
            <w:r w:rsidR="00BD4F6D">
              <w:rPr>
                <w:lang w:val="en-US"/>
              </w:rPr>
              <w:t xml:space="preserve"> (+1.5%), </w:t>
            </w:r>
            <w:r w:rsidR="004413B6">
              <w:t xml:space="preserve">audio visual equipment (+5.0%), partly offset by lower prices of pet foods (-0.6%). </w:t>
            </w:r>
          </w:p>
          <w:p w14:paraId="0B286C34" w14:textId="77777777" w:rsidR="00D13C94" w:rsidRPr="00981D11" w:rsidRDefault="00D13C94" w:rsidP="00D13C94">
            <w:pPr>
              <w:ind w:left="-115"/>
            </w:pPr>
          </w:p>
        </w:tc>
      </w:tr>
      <w:tr w:rsidR="00F56FBD" w:rsidRPr="00981D11" w14:paraId="158D87E9" w14:textId="77777777" w:rsidTr="00E66D0C">
        <w:trPr>
          <w:trHeight w:val="553"/>
          <w:tblCellSpacing w:w="14" w:type="dxa"/>
        </w:trPr>
        <w:tc>
          <w:tcPr>
            <w:tcW w:w="4781" w:type="dxa"/>
          </w:tcPr>
          <w:p w14:paraId="28B9D0D8" w14:textId="77777777" w:rsidR="00F56FBD" w:rsidRPr="00DB1833" w:rsidRDefault="00F56FBD" w:rsidP="00E66D0C">
            <w:r w:rsidRPr="00DB1833">
              <w:rPr>
                <w:i/>
              </w:rPr>
              <w:t xml:space="preserve">Education </w:t>
            </w:r>
            <w:r w:rsidR="0052777D" w:rsidRPr="00DB1833">
              <w:rPr>
                <w:i/>
              </w:rPr>
              <w:t>(</w:t>
            </w:r>
            <w:r w:rsidR="003B61D1">
              <w:rPr>
                <w:i/>
              </w:rPr>
              <w:t>+1.0</w:t>
            </w:r>
            <w:r w:rsidR="0052777D" w:rsidRPr="00DB1833">
              <w:rPr>
                <w:i/>
              </w:rPr>
              <w:t>%)</w:t>
            </w:r>
          </w:p>
        </w:tc>
        <w:tc>
          <w:tcPr>
            <w:tcW w:w="4818" w:type="dxa"/>
          </w:tcPr>
          <w:p w14:paraId="7B8DA623" w14:textId="77777777" w:rsidR="00F56FBD" w:rsidRDefault="00F56BD5" w:rsidP="00E66D0C">
            <w:pPr>
              <w:ind w:left="-115"/>
              <w:rPr>
                <w:lang w:val="en-US"/>
              </w:rPr>
            </w:pPr>
            <w:r>
              <w:t>H</w:t>
            </w:r>
            <w:proofErr w:type="spellStart"/>
            <w:r w:rsidRPr="00C37A96">
              <w:rPr>
                <w:lang w:val="en-US"/>
              </w:rPr>
              <w:t>igher</w:t>
            </w:r>
            <w:proofErr w:type="spellEnd"/>
            <w:r w:rsidR="00B326F3">
              <w:rPr>
                <w:lang w:val="en-US"/>
              </w:rPr>
              <w:t xml:space="preserve"> </w:t>
            </w:r>
            <w:r w:rsidRPr="00C37A96">
              <w:rPr>
                <w:lang w:val="en-US"/>
              </w:rPr>
              <w:t xml:space="preserve">university fees </w:t>
            </w:r>
            <w:r w:rsidR="00B326F3">
              <w:rPr>
                <w:lang w:val="en-US"/>
              </w:rPr>
              <w:t>in private institutions (+1.7%).</w:t>
            </w:r>
          </w:p>
          <w:p w14:paraId="042B8B59" w14:textId="77777777" w:rsidR="00F56BD5" w:rsidRPr="00703DCE" w:rsidRDefault="00F56BD5" w:rsidP="00E66D0C">
            <w:pPr>
              <w:ind w:left="-115"/>
              <w:rPr>
                <w:lang w:val="en-US"/>
              </w:rPr>
            </w:pPr>
          </w:p>
        </w:tc>
      </w:tr>
      <w:tr w:rsidR="00F56FBD" w:rsidRPr="00981D11" w14:paraId="44C51023" w14:textId="77777777" w:rsidTr="00E66D0C">
        <w:trPr>
          <w:trHeight w:val="724"/>
          <w:tblCellSpacing w:w="14" w:type="dxa"/>
        </w:trPr>
        <w:tc>
          <w:tcPr>
            <w:tcW w:w="4781" w:type="dxa"/>
          </w:tcPr>
          <w:p w14:paraId="71A3C06C" w14:textId="77777777" w:rsidR="00F56FBD" w:rsidRPr="00DB1833" w:rsidRDefault="00F56FBD" w:rsidP="0052777D">
            <w:r w:rsidRPr="00DB1833">
              <w:rPr>
                <w:i/>
              </w:rPr>
              <w:t>Restaurants and hotels</w:t>
            </w:r>
            <w:r>
              <w:rPr>
                <w:i/>
              </w:rPr>
              <w:t xml:space="preserve"> </w:t>
            </w:r>
            <w:r w:rsidR="003B61D1">
              <w:rPr>
                <w:i/>
              </w:rPr>
              <w:t>(+0.5%)</w:t>
            </w:r>
          </w:p>
        </w:tc>
        <w:tc>
          <w:tcPr>
            <w:tcW w:w="4818" w:type="dxa"/>
          </w:tcPr>
          <w:p w14:paraId="3219D3B7" w14:textId="77777777" w:rsidR="00F56BD5" w:rsidRDefault="00CA741C" w:rsidP="00D86BC6">
            <w:pPr>
              <w:ind w:left="-115"/>
            </w:pPr>
            <w:r>
              <w:t>H</w:t>
            </w:r>
            <w:r w:rsidR="00F56BD5">
              <w:t xml:space="preserve">igher prices of </w:t>
            </w:r>
            <w:r w:rsidR="00B07AFD">
              <w:t>prepared foods (+0.7</w:t>
            </w:r>
            <w:r w:rsidR="00F56BD5">
              <w:t>%)</w:t>
            </w:r>
            <w:r w:rsidR="002E76FA">
              <w:t xml:space="preserve"> and c</w:t>
            </w:r>
            <w:r w:rsidR="002E76FA" w:rsidRPr="002E76FA">
              <w:t>akes &amp; snacks</w:t>
            </w:r>
            <w:r w:rsidR="002E76FA">
              <w:t xml:space="preserve"> (+0.9%)</w:t>
            </w:r>
            <w:r w:rsidR="00AD58DC">
              <w:t>.</w:t>
            </w:r>
          </w:p>
          <w:p w14:paraId="23DBDD49" w14:textId="77777777" w:rsidR="00F56FBD" w:rsidRPr="00981D11" w:rsidRDefault="00F56FBD" w:rsidP="00D86BC6">
            <w:pPr>
              <w:ind w:left="-115"/>
            </w:pPr>
          </w:p>
        </w:tc>
      </w:tr>
      <w:tr w:rsidR="00F56FBD" w:rsidRPr="00981D11" w14:paraId="2C7EF3F1" w14:textId="77777777" w:rsidTr="00E66D0C">
        <w:trPr>
          <w:trHeight w:val="886"/>
          <w:tblCellSpacing w:w="14" w:type="dxa"/>
        </w:trPr>
        <w:tc>
          <w:tcPr>
            <w:tcW w:w="4781" w:type="dxa"/>
          </w:tcPr>
          <w:p w14:paraId="5708E7A7" w14:textId="77777777" w:rsidR="00F56FBD" w:rsidRPr="00DB1833" w:rsidRDefault="00F56FBD" w:rsidP="00E66D0C">
            <w:r w:rsidRPr="00DB1833">
              <w:rPr>
                <w:i/>
              </w:rPr>
              <w:t>Mi</w:t>
            </w:r>
            <w:r>
              <w:rPr>
                <w:i/>
              </w:rPr>
              <w:t>scellaneous goods and services</w:t>
            </w:r>
            <w:r w:rsidR="003B61D1">
              <w:rPr>
                <w:i/>
              </w:rPr>
              <w:t xml:space="preserve"> (+2.2</w:t>
            </w:r>
            <w:r w:rsidRPr="00924947">
              <w:rPr>
                <w:i/>
              </w:rPr>
              <w:t>%)</w:t>
            </w:r>
          </w:p>
        </w:tc>
        <w:tc>
          <w:tcPr>
            <w:tcW w:w="4818" w:type="dxa"/>
          </w:tcPr>
          <w:p w14:paraId="0BABE2D0" w14:textId="77777777" w:rsidR="00F56BD5" w:rsidRDefault="00F56BD5" w:rsidP="00D86BC6">
            <w:pPr>
              <w:ind w:left="-115"/>
            </w:pPr>
            <w:r>
              <w:t xml:space="preserve">Higher </w:t>
            </w:r>
            <w:r w:rsidRPr="00DB4014">
              <w:t xml:space="preserve">prices of </w:t>
            </w:r>
            <w:r>
              <w:t>goods for personal care (+</w:t>
            </w:r>
            <w:r w:rsidR="00C63E5F">
              <w:t>4.8</w:t>
            </w:r>
            <w:r w:rsidR="0095055A">
              <w:t>%), medical insurance (+2.7</w:t>
            </w:r>
            <w:r>
              <w:t xml:space="preserve">%), </w:t>
            </w:r>
            <w:r w:rsidR="00BF40AA">
              <w:t xml:space="preserve">and jewellery (+0.3%). </w:t>
            </w:r>
          </w:p>
          <w:p w14:paraId="5C2903AD" w14:textId="77777777" w:rsidR="00F56FBD" w:rsidRPr="00981D11" w:rsidRDefault="00F56FBD" w:rsidP="00E66D0C">
            <w:pPr>
              <w:ind w:left="-115"/>
            </w:pPr>
          </w:p>
        </w:tc>
      </w:tr>
    </w:tbl>
    <w:p w14:paraId="1D613434" w14:textId="77777777" w:rsidR="00F56FBD" w:rsidRDefault="00F56FBD" w:rsidP="007243C9"/>
    <w:p w14:paraId="351C6597" w14:textId="77777777" w:rsidR="00F56FBD" w:rsidRDefault="00F56FBD" w:rsidP="007243C9"/>
    <w:p w14:paraId="1D721C43" w14:textId="77777777" w:rsidR="003B61D1" w:rsidRDefault="003B61D1" w:rsidP="007243C9"/>
    <w:p w14:paraId="3DB2F7FA" w14:textId="77777777" w:rsidR="003B61D1" w:rsidRDefault="003B61D1" w:rsidP="007243C9"/>
    <w:p w14:paraId="15E01028" w14:textId="77777777" w:rsidR="00800774" w:rsidRDefault="00800774" w:rsidP="007243C9"/>
    <w:p w14:paraId="4FD89C4E" w14:textId="77777777" w:rsidR="00194871" w:rsidRPr="009A2917" w:rsidRDefault="00061650" w:rsidP="00057C75">
      <w:pPr>
        <w:pStyle w:val="BodyText"/>
        <w:numPr>
          <w:ilvl w:val="0"/>
          <w:numId w:val="3"/>
        </w:numPr>
        <w:spacing w:line="240" w:lineRule="auto"/>
        <w:rPr>
          <w:spacing w:val="20"/>
        </w:rPr>
      </w:pPr>
      <w:r w:rsidRPr="009A2917">
        <w:rPr>
          <w:spacing w:val="20"/>
        </w:rPr>
        <w:t>INFLATION RATE</w:t>
      </w:r>
      <w:r w:rsidR="00194871" w:rsidRPr="009A2917">
        <w:rPr>
          <w:spacing w:val="20"/>
        </w:rPr>
        <w:tab/>
      </w:r>
      <w:r w:rsidR="00194871" w:rsidRPr="009A2917">
        <w:rPr>
          <w:spacing w:val="20"/>
        </w:rPr>
        <w:tab/>
      </w:r>
    </w:p>
    <w:p w14:paraId="43F14B01" w14:textId="77777777" w:rsidR="00EE3714" w:rsidRPr="00290C4D" w:rsidRDefault="00EE3714" w:rsidP="00EE3714">
      <w:pPr>
        <w:pStyle w:val="b2"/>
        <w:jc w:val="both"/>
        <w:rPr>
          <w:rFonts w:ascii="Times New Roman" w:hAnsi="Times New Roman"/>
          <w:sz w:val="24"/>
          <w:szCs w:val="24"/>
          <w:lang w:val="en-GB"/>
        </w:rPr>
      </w:pPr>
      <w:r w:rsidRPr="00290C4D">
        <w:rPr>
          <w:rFonts w:ascii="Times New Roman" w:hAnsi="Times New Roman"/>
          <w:sz w:val="24"/>
          <w:szCs w:val="24"/>
          <w:lang w:val="en-GB"/>
        </w:rPr>
        <w:t xml:space="preserve">The headline inflation rate was </w:t>
      </w:r>
      <w:r>
        <w:rPr>
          <w:rFonts w:ascii="Times New Roman" w:hAnsi="Times New Roman"/>
          <w:sz w:val="24"/>
          <w:szCs w:val="24"/>
          <w:lang w:val="en-GB"/>
        </w:rPr>
        <w:t>2.5% for year 2020</w:t>
      </w:r>
      <w:r w:rsidR="003527E4">
        <w:rPr>
          <w:rFonts w:ascii="Times New Roman" w:hAnsi="Times New Roman"/>
          <w:sz w:val="24"/>
          <w:szCs w:val="24"/>
          <w:lang w:val="en-GB"/>
        </w:rPr>
        <w:t>,</w:t>
      </w:r>
      <w:r w:rsidRPr="00290C4D">
        <w:rPr>
          <w:rFonts w:ascii="Times New Roman" w:hAnsi="Times New Roman"/>
          <w:sz w:val="24"/>
          <w:szCs w:val="24"/>
          <w:lang w:val="en-GB"/>
        </w:rPr>
        <w:t xml:space="preserve"> compared to </w:t>
      </w:r>
      <w:r>
        <w:rPr>
          <w:rFonts w:ascii="Times New Roman" w:hAnsi="Times New Roman"/>
          <w:sz w:val="24"/>
          <w:szCs w:val="24"/>
          <w:lang w:val="en-GB"/>
        </w:rPr>
        <w:t>0.5</w:t>
      </w:r>
      <w:r w:rsidRPr="00290C4D">
        <w:rPr>
          <w:rFonts w:ascii="Times New Roman" w:hAnsi="Times New Roman"/>
          <w:sz w:val="24"/>
          <w:szCs w:val="24"/>
          <w:lang w:val="en-GB"/>
        </w:rPr>
        <w:t>% for year 201</w:t>
      </w:r>
      <w:r>
        <w:rPr>
          <w:rFonts w:ascii="Times New Roman" w:hAnsi="Times New Roman"/>
          <w:sz w:val="24"/>
          <w:szCs w:val="24"/>
          <w:lang w:val="en-GB"/>
        </w:rPr>
        <w:t>9 (Table 5).</w:t>
      </w:r>
    </w:p>
    <w:p w14:paraId="1AD74A12" w14:textId="77777777" w:rsidR="00EE3714" w:rsidRPr="006F1373" w:rsidRDefault="00EE3714" w:rsidP="00EE3714">
      <w:pPr>
        <w:rPr>
          <w:b/>
          <w:bCs/>
        </w:rPr>
      </w:pPr>
      <w:r w:rsidRPr="00BF55C0">
        <w:t xml:space="preserve">The </w:t>
      </w:r>
      <w:r>
        <w:t xml:space="preserve">headline </w:t>
      </w:r>
      <w:r w:rsidRPr="00BF55C0">
        <w:t xml:space="preserve">inflation rate excluding 'Alcoholic beverages and tobacco' was </w:t>
      </w:r>
      <w:r>
        <w:t>2.7% for year 2020</w:t>
      </w:r>
      <w:r w:rsidR="003527E4">
        <w:t>,</w:t>
      </w:r>
      <w:r w:rsidRPr="00BF55C0">
        <w:t xml:space="preserve"> compared to </w:t>
      </w:r>
      <w:r>
        <w:t>0.4</w:t>
      </w:r>
      <w:r w:rsidRPr="00BF55C0">
        <w:t>% for year 201</w:t>
      </w:r>
      <w:r>
        <w:t>9</w:t>
      </w:r>
      <w:r w:rsidRPr="00290C4D">
        <w:t>.</w:t>
      </w:r>
      <w:r w:rsidRPr="00290C4D">
        <w:rPr>
          <w:b/>
          <w:bCs/>
        </w:rPr>
        <w:t> </w:t>
      </w:r>
    </w:p>
    <w:p w14:paraId="50414CCF" w14:textId="77777777" w:rsidR="00EE3714" w:rsidRDefault="00EE3714" w:rsidP="000154A7"/>
    <w:p w14:paraId="742C8AD8" w14:textId="77777777" w:rsidR="008D26E9" w:rsidRDefault="00267754" w:rsidP="000154A7">
      <w:r w:rsidRPr="00F365E8">
        <w:t xml:space="preserve">The </w:t>
      </w:r>
      <w:r w:rsidRPr="00267754">
        <w:t>headline</w:t>
      </w:r>
      <w:r w:rsidRPr="00F365E8">
        <w:t xml:space="preserve"> inflation rate for the twelve months ending </w:t>
      </w:r>
      <w:r w:rsidR="005C436E">
        <w:t>March 2021</w:t>
      </w:r>
      <w:r w:rsidR="00780D12">
        <w:t xml:space="preserve"> worked</w:t>
      </w:r>
      <w:r w:rsidRPr="00F365E8">
        <w:t xml:space="preserve"> out to </w:t>
      </w:r>
      <w:r w:rsidR="005C436E">
        <w:t>2</w:t>
      </w:r>
      <w:r w:rsidR="005F0D23">
        <w:t>.2</w:t>
      </w:r>
      <w:r w:rsidRPr="00F365E8">
        <w:t xml:space="preserve">%, compared to </w:t>
      </w:r>
      <w:r w:rsidR="005C436E">
        <w:t>1.2</w:t>
      </w:r>
      <w:r w:rsidRPr="00F365E8">
        <w:t xml:space="preserve">% for the twelve months ending </w:t>
      </w:r>
      <w:r w:rsidR="0052604B">
        <w:t>March 20</w:t>
      </w:r>
      <w:r w:rsidR="005C436E">
        <w:t>20</w:t>
      </w:r>
      <w:r w:rsidRPr="00F365E8">
        <w:t xml:space="preserve">.  </w:t>
      </w:r>
    </w:p>
    <w:p w14:paraId="6BD78504" w14:textId="77777777" w:rsidR="00267754" w:rsidRPr="00267754" w:rsidRDefault="00267754" w:rsidP="000154A7"/>
    <w:p w14:paraId="4616D0BB" w14:textId="77777777" w:rsidR="00267754" w:rsidRDefault="00267754" w:rsidP="000154A7">
      <w:r w:rsidRPr="001D2680">
        <w:t xml:space="preserve">The </w:t>
      </w:r>
      <w:r w:rsidRPr="00267754">
        <w:t>headline</w:t>
      </w:r>
      <w:r w:rsidRPr="001D2680">
        <w:t xml:space="preserve"> inflation rate excluding “Alcoholic beverages and tobacco” for the twelve months ending </w:t>
      </w:r>
      <w:r>
        <w:t>March</w:t>
      </w:r>
      <w:r w:rsidR="009705C5">
        <w:t xml:space="preserve"> 202</w:t>
      </w:r>
      <w:r w:rsidR="0071682F">
        <w:t>1</w:t>
      </w:r>
      <w:r w:rsidR="00213D42">
        <w:t xml:space="preserve"> worked</w:t>
      </w:r>
      <w:r w:rsidRPr="001D2680">
        <w:t xml:space="preserve"> out to </w:t>
      </w:r>
      <w:r w:rsidR="0071682F">
        <w:t>2.3</w:t>
      </w:r>
      <w:r w:rsidRPr="001D2680">
        <w:t>%</w:t>
      </w:r>
      <w:r w:rsidR="0071682F">
        <w:t>,</w:t>
      </w:r>
      <w:r w:rsidRPr="001D2680">
        <w:t xml:space="preserve"> compared to </w:t>
      </w:r>
      <w:r w:rsidR="0071682F">
        <w:t>1.2</w:t>
      </w:r>
      <w:r w:rsidRPr="001D2680">
        <w:t xml:space="preserve">% for the twelve months ending </w:t>
      </w:r>
      <w:r>
        <w:t>March</w:t>
      </w:r>
      <w:r w:rsidR="0071682F">
        <w:t xml:space="preserve"> 2020</w:t>
      </w:r>
      <w:r w:rsidR="008504B9">
        <w:t>.</w:t>
      </w:r>
    </w:p>
    <w:p w14:paraId="74526D86" w14:textId="77777777" w:rsidR="0046339E" w:rsidRPr="00290C4D" w:rsidRDefault="00D11E39" w:rsidP="000154A7">
      <w:pPr>
        <w:rPr>
          <w:b/>
        </w:rPr>
      </w:pPr>
      <w:r w:rsidRPr="00290C4D">
        <w:rPr>
          <w:b/>
        </w:rPr>
        <w:t xml:space="preserve"> </w:t>
      </w:r>
    </w:p>
    <w:p w14:paraId="1940947C" w14:textId="77777777" w:rsidR="0056550B" w:rsidRPr="00E0076F" w:rsidRDefault="006230A4" w:rsidP="009A2917">
      <w:pPr>
        <w:pStyle w:val="BodyText"/>
        <w:numPr>
          <w:ilvl w:val="0"/>
          <w:numId w:val="3"/>
        </w:numPr>
        <w:spacing w:line="240" w:lineRule="auto"/>
        <w:rPr>
          <w:b w:val="0"/>
        </w:rPr>
      </w:pPr>
      <w:r w:rsidRPr="009A2917">
        <w:rPr>
          <w:spacing w:val="20"/>
        </w:rPr>
        <w:t>INTERNATIONAL COMPARIS</w:t>
      </w:r>
      <w:r w:rsidR="00061650" w:rsidRPr="009A2917">
        <w:rPr>
          <w:spacing w:val="20"/>
        </w:rPr>
        <w:t>ON</w:t>
      </w:r>
      <w:r w:rsidRPr="009A2917">
        <w:rPr>
          <w:spacing w:val="20"/>
        </w:rPr>
        <w:t xml:space="preserve"> </w:t>
      </w:r>
      <w:r w:rsidR="00061650" w:rsidRPr="009A2917">
        <w:rPr>
          <w:spacing w:val="20"/>
        </w:rPr>
        <w:t>OF INFLATION RATE</w:t>
      </w:r>
      <w:r w:rsidR="00F23685" w:rsidRPr="009A2917">
        <w:rPr>
          <w:spacing w:val="20"/>
        </w:rPr>
        <w:t xml:space="preserve"> </w:t>
      </w:r>
      <w:r w:rsidR="0056550B" w:rsidRPr="009A2917">
        <w:rPr>
          <w:spacing w:val="20"/>
        </w:rPr>
        <w:tab/>
      </w:r>
      <w:r w:rsidR="0056550B" w:rsidRPr="00E0076F">
        <w:tab/>
      </w:r>
    </w:p>
    <w:p w14:paraId="5D8D149D" w14:textId="77777777" w:rsidR="0056550B" w:rsidRDefault="0056550B" w:rsidP="00057C75">
      <w:pPr>
        <w:pStyle w:val="BodyText"/>
        <w:spacing w:line="240" w:lineRule="auto"/>
      </w:pPr>
    </w:p>
    <w:p w14:paraId="085CB463" w14:textId="77777777" w:rsidR="007B2438" w:rsidRDefault="006C6B12" w:rsidP="007B2438">
      <w:r>
        <w:t>The table below compares</w:t>
      </w:r>
      <w:r w:rsidR="007B2438">
        <w:t xml:space="preserve"> inflation rate (as measured by the percentage change in the average CPI for a given year relative to the previous year) of Mauritius with those of our main importing countries and some</w:t>
      </w:r>
      <w:r w:rsidR="00205657">
        <w:t xml:space="preserve"> countries in the region for</w:t>
      </w:r>
      <w:r w:rsidR="007B2438">
        <w:t xml:space="preserve"> </w:t>
      </w:r>
      <w:r w:rsidR="00784E69">
        <w:t xml:space="preserve">year </w:t>
      </w:r>
      <w:r w:rsidR="00805614">
        <w:t>2020</w:t>
      </w:r>
      <w:r w:rsidR="007B2438">
        <w:t>.</w:t>
      </w:r>
    </w:p>
    <w:p w14:paraId="6780FC46" w14:textId="77777777" w:rsidR="007B2438" w:rsidRDefault="007B2438" w:rsidP="007B2438">
      <w:pPr>
        <w:ind w:firstLine="270"/>
      </w:pPr>
      <w:r>
        <w:t xml:space="preserve"> </w:t>
      </w:r>
    </w:p>
    <w:p w14:paraId="5A5B001D" w14:textId="77777777" w:rsidR="007B2438" w:rsidRPr="008419F5" w:rsidRDefault="007B2438" w:rsidP="00805614">
      <w:pPr>
        <w:jc w:val="center"/>
        <w:rPr>
          <w:b/>
        </w:rPr>
      </w:pPr>
      <w:r w:rsidRPr="008419F5">
        <w:rPr>
          <w:b/>
        </w:rPr>
        <w:t xml:space="preserve">Inflation rate (%) of selected countries, year </w:t>
      </w:r>
      <w:r w:rsidR="00691FCA">
        <w:rPr>
          <w:b/>
        </w:rPr>
        <w:t>2020</w:t>
      </w:r>
    </w:p>
    <w:p w14:paraId="70204DF2" w14:textId="77777777" w:rsidR="00B57DA0" w:rsidRDefault="007B2438" w:rsidP="007B2438">
      <w: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8"/>
        <w:gridCol w:w="2352"/>
      </w:tblGrid>
      <w:tr w:rsidR="0080401E" w:rsidRPr="00762F87" w14:paraId="710241D5" w14:textId="77777777" w:rsidTr="0080401E">
        <w:trPr>
          <w:trHeight w:val="444"/>
          <w:jc w:val="center"/>
        </w:trPr>
        <w:tc>
          <w:tcPr>
            <w:tcW w:w="2038" w:type="dxa"/>
            <w:vAlign w:val="center"/>
          </w:tcPr>
          <w:p w14:paraId="225B2EF5" w14:textId="77777777" w:rsidR="0080401E" w:rsidRPr="00346271" w:rsidRDefault="0080401E" w:rsidP="00346501">
            <w:pPr>
              <w:spacing w:line="192" w:lineRule="auto"/>
              <w:jc w:val="center"/>
              <w:rPr>
                <w:b/>
              </w:rPr>
            </w:pPr>
            <w:r w:rsidRPr="00346271">
              <w:rPr>
                <w:b/>
              </w:rPr>
              <w:t>Country</w:t>
            </w:r>
          </w:p>
        </w:tc>
        <w:tc>
          <w:tcPr>
            <w:tcW w:w="2352" w:type="dxa"/>
            <w:vAlign w:val="center"/>
          </w:tcPr>
          <w:p w14:paraId="1F25322A" w14:textId="77777777" w:rsidR="0080401E" w:rsidRPr="00346271" w:rsidRDefault="0080401E" w:rsidP="00346501">
            <w:pPr>
              <w:spacing w:line="192" w:lineRule="auto"/>
              <w:jc w:val="center"/>
              <w:rPr>
                <w:b/>
              </w:rPr>
            </w:pPr>
            <w:r w:rsidRPr="00346271">
              <w:rPr>
                <w:b/>
              </w:rPr>
              <w:t>Inflation rate (%)</w:t>
            </w:r>
          </w:p>
        </w:tc>
      </w:tr>
      <w:tr w:rsidR="0080401E" w:rsidRPr="00762F87" w14:paraId="6EDEBB24" w14:textId="77777777" w:rsidTr="0080401E">
        <w:trPr>
          <w:trHeight w:val="352"/>
          <w:jc w:val="center"/>
        </w:trPr>
        <w:tc>
          <w:tcPr>
            <w:tcW w:w="2038" w:type="dxa"/>
            <w:vAlign w:val="center"/>
          </w:tcPr>
          <w:p w14:paraId="7EA47AA4" w14:textId="77777777" w:rsidR="0080401E" w:rsidRPr="00346271" w:rsidRDefault="0080401E" w:rsidP="00691FCA">
            <w:pPr>
              <w:spacing w:line="192" w:lineRule="auto"/>
            </w:pPr>
            <w:r w:rsidRPr="00346271">
              <w:t>France</w:t>
            </w:r>
          </w:p>
        </w:tc>
        <w:tc>
          <w:tcPr>
            <w:tcW w:w="2352" w:type="dxa"/>
            <w:vAlign w:val="center"/>
          </w:tcPr>
          <w:p w14:paraId="0701E5EF" w14:textId="77777777" w:rsidR="0080401E" w:rsidRDefault="0080401E" w:rsidP="00691FCA">
            <w:pPr>
              <w:overflowPunct/>
              <w:autoSpaceDE/>
              <w:autoSpaceDN/>
              <w:adjustRightInd/>
              <w:jc w:val="center"/>
              <w:textAlignment w:val="auto"/>
              <w:rPr>
                <w:color w:val="000000"/>
                <w:lang w:val="en-US"/>
              </w:rPr>
            </w:pPr>
            <w:r>
              <w:rPr>
                <w:color w:val="000000"/>
                <w:lang w:val="en-US"/>
              </w:rPr>
              <w:t>0.5</w:t>
            </w:r>
          </w:p>
        </w:tc>
      </w:tr>
      <w:tr w:rsidR="0080401E" w:rsidRPr="00762F87" w14:paraId="09E25E00" w14:textId="77777777" w:rsidTr="0080401E">
        <w:trPr>
          <w:trHeight w:val="335"/>
          <w:jc w:val="center"/>
        </w:trPr>
        <w:tc>
          <w:tcPr>
            <w:tcW w:w="2038" w:type="dxa"/>
            <w:vAlign w:val="center"/>
          </w:tcPr>
          <w:p w14:paraId="71BE528E" w14:textId="77777777" w:rsidR="0080401E" w:rsidRPr="00346271" w:rsidRDefault="0080401E" w:rsidP="00691FCA">
            <w:pPr>
              <w:spacing w:line="192" w:lineRule="auto"/>
            </w:pPr>
            <w:r w:rsidRPr="00346271">
              <w:t>United Kingdom</w:t>
            </w:r>
          </w:p>
        </w:tc>
        <w:tc>
          <w:tcPr>
            <w:tcW w:w="2352" w:type="dxa"/>
            <w:vAlign w:val="center"/>
          </w:tcPr>
          <w:p w14:paraId="2D7202CE" w14:textId="77777777" w:rsidR="0080401E" w:rsidRDefault="0080401E" w:rsidP="00691FCA">
            <w:pPr>
              <w:jc w:val="center"/>
              <w:rPr>
                <w:color w:val="000000"/>
              </w:rPr>
            </w:pPr>
            <w:r>
              <w:rPr>
                <w:color w:val="000000"/>
              </w:rPr>
              <w:t>0.9</w:t>
            </w:r>
          </w:p>
        </w:tc>
      </w:tr>
      <w:tr w:rsidR="0080401E" w:rsidRPr="00762F87" w14:paraId="03812905" w14:textId="77777777" w:rsidTr="0080401E">
        <w:trPr>
          <w:trHeight w:val="335"/>
          <w:jc w:val="center"/>
        </w:trPr>
        <w:tc>
          <w:tcPr>
            <w:tcW w:w="2038" w:type="dxa"/>
            <w:vAlign w:val="center"/>
          </w:tcPr>
          <w:p w14:paraId="4C3CCC37" w14:textId="77777777" w:rsidR="0080401E" w:rsidRPr="00346271" w:rsidRDefault="0080401E" w:rsidP="00691FCA">
            <w:pPr>
              <w:spacing w:line="192" w:lineRule="auto"/>
            </w:pPr>
            <w:r w:rsidRPr="00346271">
              <w:t>China</w:t>
            </w:r>
          </w:p>
        </w:tc>
        <w:tc>
          <w:tcPr>
            <w:tcW w:w="2352" w:type="dxa"/>
            <w:vAlign w:val="center"/>
          </w:tcPr>
          <w:p w14:paraId="537325E2" w14:textId="77777777" w:rsidR="0080401E" w:rsidRDefault="0080401E" w:rsidP="00691FCA">
            <w:pPr>
              <w:jc w:val="center"/>
              <w:rPr>
                <w:color w:val="000000"/>
              </w:rPr>
            </w:pPr>
            <w:r>
              <w:rPr>
                <w:color w:val="000000"/>
              </w:rPr>
              <w:t>2.4</w:t>
            </w:r>
          </w:p>
        </w:tc>
      </w:tr>
      <w:tr w:rsidR="0080401E" w:rsidRPr="00762F87" w14:paraId="5D9EA082" w14:textId="77777777" w:rsidTr="0080401E">
        <w:trPr>
          <w:trHeight w:val="326"/>
          <w:jc w:val="center"/>
        </w:trPr>
        <w:tc>
          <w:tcPr>
            <w:tcW w:w="2038" w:type="dxa"/>
            <w:vAlign w:val="center"/>
          </w:tcPr>
          <w:p w14:paraId="0D0F5719" w14:textId="77777777" w:rsidR="0080401E" w:rsidRPr="00346271" w:rsidRDefault="0080401E" w:rsidP="00691FCA">
            <w:pPr>
              <w:spacing w:line="192" w:lineRule="auto"/>
            </w:pPr>
            <w:r w:rsidRPr="00346271">
              <w:t>India</w:t>
            </w:r>
          </w:p>
        </w:tc>
        <w:tc>
          <w:tcPr>
            <w:tcW w:w="2352" w:type="dxa"/>
            <w:vAlign w:val="center"/>
          </w:tcPr>
          <w:p w14:paraId="208D08FD" w14:textId="77777777" w:rsidR="0080401E" w:rsidRDefault="0080401E" w:rsidP="00691FCA">
            <w:pPr>
              <w:jc w:val="center"/>
              <w:rPr>
                <w:color w:val="000000"/>
              </w:rPr>
            </w:pPr>
            <w:r>
              <w:rPr>
                <w:color w:val="000000"/>
              </w:rPr>
              <w:t>6.2</w:t>
            </w:r>
          </w:p>
        </w:tc>
      </w:tr>
      <w:tr w:rsidR="0080401E" w:rsidRPr="00762F87" w14:paraId="40FD97EF" w14:textId="77777777" w:rsidTr="0080401E">
        <w:trPr>
          <w:trHeight w:val="326"/>
          <w:jc w:val="center"/>
        </w:trPr>
        <w:tc>
          <w:tcPr>
            <w:tcW w:w="2038" w:type="dxa"/>
            <w:vAlign w:val="center"/>
          </w:tcPr>
          <w:p w14:paraId="298089D3" w14:textId="77777777" w:rsidR="0080401E" w:rsidRPr="00346271" w:rsidRDefault="0080401E" w:rsidP="00691FCA">
            <w:pPr>
              <w:spacing w:line="192" w:lineRule="auto"/>
            </w:pPr>
            <w:r w:rsidRPr="00346271">
              <w:t>Japan</w:t>
            </w:r>
          </w:p>
        </w:tc>
        <w:tc>
          <w:tcPr>
            <w:tcW w:w="2352" w:type="dxa"/>
            <w:vAlign w:val="center"/>
          </w:tcPr>
          <w:p w14:paraId="43341B06" w14:textId="77777777" w:rsidR="0080401E" w:rsidRDefault="0080401E" w:rsidP="00691FCA">
            <w:pPr>
              <w:jc w:val="center"/>
              <w:rPr>
                <w:color w:val="000000"/>
              </w:rPr>
            </w:pPr>
            <w:r>
              <w:rPr>
                <w:color w:val="000000"/>
              </w:rPr>
              <w:t>0.0</w:t>
            </w:r>
          </w:p>
        </w:tc>
      </w:tr>
      <w:tr w:rsidR="0080401E" w14:paraId="587536D3" w14:textId="77777777" w:rsidTr="0080401E">
        <w:trPr>
          <w:trHeight w:val="326"/>
          <w:jc w:val="center"/>
        </w:trPr>
        <w:tc>
          <w:tcPr>
            <w:tcW w:w="2038" w:type="dxa"/>
            <w:vAlign w:val="center"/>
          </w:tcPr>
          <w:p w14:paraId="5BBA9519" w14:textId="77777777" w:rsidR="0080401E" w:rsidRPr="00346271" w:rsidRDefault="0080401E" w:rsidP="00691FCA">
            <w:pPr>
              <w:spacing w:line="192" w:lineRule="auto"/>
            </w:pPr>
            <w:r w:rsidRPr="00346271">
              <w:t>Singapore</w:t>
            </w:r>
          </w:p>
        </w:tc>
        <w:tc>
          <w:tcPr>
            <w:tcW w:w="2352" w:type="dxa"/>
            <w:vAlign w:val="center"/>
          </w:tcPr>
          <w:p w14:paraId="1FF6C1CA" w14:textId="77777777" w:rsidR="0080401E" w:rsidRDefault="0080401E" w:rsidP="00691FCA">
            <w:pPr>
              <w:jc w:val="center"/>
              <w:rPr>
                <w:color w:val="000000"/>
              </w:rPr>
            </w:pPr>
            <w:r>
              <w:rPr>
                <w:color w:val="000000"/>
              </w:rPr>
              <w:t>-0.2</w:t>
            </w:r>
          </w:p>
        </w:tc>
      </w:tr>
      <w:tr w:rsidR="0080401E" w14:paraId="0908621E" w14:textId="77777777" w:rsidTr="0080401E">
        <w:trPr>
          <w:trHeight w:val="326"/>
          <w:jc w:val="center"/>
        </w:trPr>
        <w:tc>
          <w:tcPr>
            <w:tcW w:w="2038" w:type="dxa"/>
            <w:vAlign w:val="center"/>
          </w:tcPr>
          <w:p w14:paraId="23C531B1" w14:textId="77777777" w:rsidR="0080401E" w:rsidRPr="00346271" w:rsidRDefault="0080401E" w:rsidP="0080401E">
            <w:pPr>
              <w:spacing w:line="192" w:lineRule="auto"/>
            </w:pPr>
            <w:r w:rsidRPr="00346271">
              <w:t>Australia</w:t>
            </w:r>
          </w:p>
        </w:tc>
        <w:tc>
          <w:tcPr>
            <w:tcW w:w="2352" w:type="dxa"/>
            <w:vAlign w:val="center"/>
          </w:tcPr>
          <w:p w14:paraId="5F102280" w14:textId="77777777" w:rsidR="0080401E" w:rsidRDefault="0080401E" w:rsidP="0080401E">
            <w:pPr>
              <w:overflowPunct/>
              <w:autoSpaceDE/>
              <w:autoSpaceDN/>
              <w:adjustRightInd/>
              <w:jc w:val="center"/>
              <w:textAlignment w:val="auto"/>
              <w:rPr>
                <w:color w:val="000000"/>
                <w:lang w:val="en-US"/>
              </w:rPr>
            </w:pPr>
            <w:r>
              <w:rPr>
                <w:color w:val="000000"/>
                <w:lang w:val="en-US"/>
              </w:rPr>
              <w:t>0.9</w:t>
            </w:r>
          </w:p>
        </w:tc>
      </w:tr>
      <w:tr w:rsidR="0080401E" w14:paraId="27FB2EB1" w14:textId="77777777" w:rsidTr="0080401E">
        <w:trPr>
          <w:trHeight w:val="326"/>
          <w:jc w:val="center"/>
        </w:trPr>
        <w:tc>
          <w:tcPr>
            <w:tcW w:w="2038" w:type="dxa"/>
            <w:vAlign w:val="center"/>
          </w:tcPr>
          <w:p w14:paraId="21A8D5AB" w14:textId="77777777" w:rsidR="0080401E" w:rsidRPr="00346271" w:rsidRDefault="0080401E" w:rsidP="0080401E">
            <w:pPr>
              <w:spacing w:line="192" w:lineRule="auto"/>
            </w:pPr>
            <w:r w:rsidRPr="00346271">
              <w:t>United States</w:t>
            </w:r>
          </w:p>
        </w:tc>
        <w:tc>
          <w:tcPr>
            <w:tcW w:w="2352" w:type="dxa"/>
            <w:vAlign w:val="center"/>
          </w:tcPr>
          <w:p w14:paraId="6519C082" w14:textId="77777777" w:rsidR="0080401E" w:rsidRDefault="0080401E" w:rsidP="0080401E">
            <w:pPr>
              <w:jc w:val="center"/>
              <w:rPr>
                <w:color w:val="000000"/>
              </w:rPr>
            </w:pPr>
            <w:r>
              <w:rPr>
                <w:color w:val="000000"/>
              </w:rPr>
              <w:t>1.2</w:t>
            </w:r>
          </w:p>
        </w:tc>
      </w:tr>
      <w:tr w:rsidR="0080401E" w14:paraId="57801247" w14:textId="77777777" w:rsidTr="0080401E">
        <w:trPr>
          <w:trHeight w:val="326"/>
          <w:jc w:val="center"/>
        </w:trPr>
        <w:tc>
          <w:tcPr>
            <w:tcW w:w="2038" w:type="dxa"/>
            <w:vAlign w:val="center"/>
          </w:tcPr>
          <w:p w14:paraId="6A3B129E" w14:textId="77777777" w:rsidR="0080401E" w:rsidRPr="00346271" w:rsidRDefault="0080401E" w:rsidP="0080401E">
            <w:pPr>
              <w:spacing w:line="192" w:lineRule="auto"/>
            </w:pPr>
            <w:r w:rsidRPr="00346271">
              <w:t>Botswana</w:t>
            </w:r>
          </w:p>
        </w:tc>
        <w:tc>
          <w:tcPr>
            <w:tcW w:w="2352" w:type="dxa"/>
            <w:vAlign w:val="center"/>
          </w:tcPr>
          <w:p w14:paraId="77461AD3" w14:textId="77777777" w:rsidR="0080401E" w:rsidRDefault="0080401E" w:rsidP="0080401E">
            <w:pPr>
              <w:jc w:val="center"/>
              <w:rPr>
                <w:color w:val="000000"/>
              </w:rPr>
            </w:pPr>
            <w:r>
              <w:rPr>
                <w:color w:val="000000"/>
              </w:rPr>
              <w:t>2.0</w:t>
            </w:r>
          </w:p>
        </w:tc>
      </w:tr>
      <w:tr w:rsidR="0080401E" w14:paraId="5C906F83" w14:textId="77777777" w:rsidTr="0080401E">
        <w:trPr>
          <w:trHeight w:val="326"/>
          <w:jc w:val="center"/>
        </w:trPr>
        <w:tc>
          <w:tcPr>
            <w:tcW w:w="2038" w:type="dxa"/>
            <w:vAlign w:val="center"/>
          </w:tcPr>
          <w:p w14:paraId="674A10EC" w14:textId="77777777" w:rsidR="0080401E" w:rsidRPr="00346271" w:rsidRDefault="0080401E" w:rsidP="0080401E">
            <w:pPr>
              <w:spacing w:line="192" w:lineRule="auto"/>
              <w:rPr>
                <w:b/>
              </w:rPr>
            </w:pPr>
            <w:r w:rsidRPr="00346271">
              <w:rPr>
                <w:b/>
              </w:rPr>
              <w:t>Mauritius</w:t>
            </w:r>
          </w:p>
        </w:tc>
        <w:tc>
          <w:tcPr>
            <w:tcW w:w="2352" w:type="dxa"/>
            <w:vAlign w:val="center"/>
          </w:tcPr>
          <w:p w14:paraId="1F78137D" w14:textId="77777777" w:rsidR="0080401E" w:rsidRDefault="0080401E" w:rsidP="0080401E">
            <w:pPr>
              <w:jc w:val="center"/>
              <w:rPr>
                <w:b/>
                <w:bCs/>
                <w:color w:val="000000"/>
              </w:rPr>
            </w:pPr>
            <w:r>
              <w:rPr>
                <w:b/>
                <w:bCs/>
                <w:color w:val="000000"/>
              </w:rPr>
              <w:t>2.5</w:t>
            </w:r>
          </w:p>
        </w:tc>
      </w:tr>
      <w:tr w:rsidR="0080401E" w14:paraId="3E246661" w14:textId="77777777" w:rsidTr="0080401E">
        <w:trPr>
          <w:trHeight w:val="326"/>
          <w:jc w:val="center"/>
        </w:trPr>
        <w:tc>
          <w:tcPr>
            <w:tcW w:w="2038" w:type="dxa"/>
            <w:vAlign w:val="center"/>
          </w:tcPr>
          <w:p w14:paraId="2C12CAE9" w14:textId="77777777" w:rsidR="0080401E" w:rsidRPr="00346271" w:rsidRDefault="0080401E" w:rsidP="0080401E">
            <w:pPr>
              <w:spacing w:line="192" w:lineRule="auto"/>
            </w:pPr>
            <w:r w:rsidRPr="00346271">
              <w:t>Seychelles</w:t>
            </w:r>
          </w:p>
        </w:tc>
        <w:tc>
          <w:tcPr>
            <w:tcW w:w="2352" w:type="dxa"/>
            <w:vAlign w:val="center"/>
          </w:tcPr>
          <w:p w14:paraId="67FF09B5" w14:textId="77777777" w:rsidR="0080401E" w:rsidRDefault="0080401E" w:rsidP="0080401E">
            <w:pPr>
              <w:jc w:val="center"/>
              <w:rPr>
                <w:color w:val="000000"/>
              </w:rPr>
            </w:pPr>
            <w:r>
              <w:rPr>
                <w:color w:val="000000"/>
              </w:rPr>
              <w:t>1.2</w:t>
            </w:r>
          </w:p>
        </w:tc>
      </w:tr>
      <w:tr w:rsidR="0080401E" w14:paraId="6C5B903C" w14:textId="77777777" w:rsidTr="0080401E">
        <w:trPr>
          <w:trHeight w:val="326"/>
          <w:jc w:val="center"/>
        </w:trPr>
        <w:tc>
          <w:tcPr>
            <w:tcW w:w="2038" w:type="dxa"/>
            <w:vAlign w:val="center"/>
          </w:tcPr>
          <w:p w14:paraId="15787A39" w14:textId="77777777" w:rsidR="0080401E" w:rsidRPr="00346271" w:rsidRDefault="0080401E" w:rsidP="0080401E">
            <w:pPr>
              <w:spacing w:line="192" w:lineRule="auto"/>
            </w:pPr>
            <w:r w:rsidRPr="00346271">
              <w:t>South Africa</w:t>
            </w:r>
          </w:p>
        </w:tc>
        <w:tc>
          <w:tcPr>
            <w:tcW w:w="2352" w:type="dxa"/>
            <w:vAlign w:val="center"/>
          </w:tcPr>
          <w:p w14:paraId="49F58E29" w14:textId="77777777" w:rsidR="0080401E" w:rsidRDefault="0080401E" w:rsidP="0080401E">
            <w:pPr>
              <w:jc w:val="center"/>
              <w:rPr>
                <w:color w:val="000000"/>
              </w:rPr>
            </w:pPr>
            <w:r>
              <w:rPr>
                <w:color w:val="000000"/>
              </w:rPr>
              <w:t>3.3</w:t>
            </w:r>
          </w:p>
        </w:tc>
      </w:tr>
    </w:tbl>
    <w:p w14:paraId="0FB949BB" w14:textId="77777777" w:rsidR="007B2438" w:rsidRDefault="007B2438" w:rsidP="007B2438">
      <w:r>
        <w:t xml:space="preserve">   </w:t>
      </w:r>
    </w:p>
    <w:p w14:paraId="524E4F31" w14:textId="77777777" w:rsidR="009C2078" w:rsidRPr="00B547BF" w:rsidRDefault="0080401E" w:rsidP="0080401E">
      <w:pPr>
        <w:spacing w:line="192" w:lineRule="auto"/>
        <w:rPr>
          <w:sz w:val="20"/>
        </w:rPr>
      </w:pPr>
      <w:r>
        <w:rPr>
          <w:sz w:val="20"/>
        </w:rPr>
        <w:t xml:space="preserve">                                                   </w:t>
      </w:r>
      <w:r w:rsidR="009C2078" w:rsidRPr="00B547BF">
        <w:rPr>
          <w:sz w:val="20"/>
        </w:rPr>
        <w:t xml:space="preserve">Source – </w:t>
      </w:r>
      <w:r w:rsidR="009C2078">
        <w:rPr>
          <w:sz w:val="20"/>
        </w:rPr>
        <w:t>World Econo</w:t>
      </w:r>
      <w:r w:rsidR="005F4667">
        <w:rPr>
          <w:sz w:val="20"/>
        </w:rPr>
        <w:t>mic Outlook Database, April 2021</w:t>
      </w:r>
    </w:p>
    <w:p w14:paraId="2140F6D9" w14:textId="77777777" w:rsidR="007B2438" w:rsidRPr="001A5BCB" w:rsidRDefault="007B2438" w:rsidP="00E451F7">
      <w:pPr>
        <w:spacing w:line="192" w:lineRule="auto"/>
      </w:pPr>
    </w:p>
    <w:p w14:paraId="544AB9D3" w14:textId="77777777" w:rsidR="003A6823" w:rsidRPr="00C01C68" w:rsidRDefault="003A6823" w:rsidP="00057C75">
      <w:pPr>
        <w:pStyle w:val="BodyText"/>
        <w:spacing w:line="240" w:lineRule="auto"/>
        <w:rPr>
          <w:lang w:val="en-GB"/>
        </w:rPr>
      </w:pPr>
    </w:p>
    <w:p w14:paraId="51C7A912" w14:textId="77777777" w:rsidR="0076511D" w:rsidRPr="00612231" w:rsidRDefault="0076511D" w:rsidP="00057C75">
      <w:pPr>
        <w:pStyle w:val="BodyText"/>
        <w:spacing w:line="240" w:lineRule="auto"/>
        <w:rPr>
          <w:lang w:val="en-GB"/>
        </w:rPr>
      </w:pPr>
    </w:p>
    <w:p w14:paraId="73ADF413" w14:textId="77777777" w:rsidR="0076511D" w:rsidRDefault="002015E1" w:rsidP="0076511D">
      <w:pPr>
        <w:overflowPunct/>
        <w:textAlignment w:val="auto"/>
        <w:rPr>
          <w:b/>
          <w:bCs/>
          <w:sz w:val="23"/>
          <w:szCs w:val="23"/>
          <w:lang w:val="en-US"/>
        </w:rPr>
      </w:pPr>
      <w:r>
        <w:rPr>
          <w:b/>
          <w:bCs/>
          <w:sz w:val="23"/>
          <w:szCs w:val="23"/>
          <w:lang w:val="en-US"/>
        </w:rPr>
        <w:t xml:space="preserve">Statistics </w:t>
      </w:r>
      <w:smartTag w:uri="urn:schemas-microsoft-com:office:smarttags" w:element="place">
        <w:smartTag w:uri="urn:schemas-microsoft-com:office:smarttags" w:element="country-region">
          <w:r>
            <w:rPr>
              <w:b/>
              <w:bCs/>
              <w:sz w:val="23"/>
              <w:szCs w:val="23"/>
              <w:lang w:val="en-US"/>
            </w:rPr>
            <w:t>Mauritius</w:t>
          </w:r>
        </w:smartTag>
      </w:smartTag>
    </w:p>
    <w:p w14:paraId="73796340" w14:textId="77777777" w:rsidR="009B43D6" w:rsidRDefault="009B43D6" w:rsidP="0076511D">
      <w:pPr>
        <w:overflowPunct/>
        <w:textAlignment w:val="auto"/>
        <w:rPr>
          <w:b/>
          <w:bCs/>
          <w:sz w:val="23"/>
          <w:szCs w:val="23"/>
          <w:lang w:val="en-US"/>
        </w:rPr>
      </w:pPr>
      <w:r w:rsidRPr="009B43D6">
        <w:rPr>
          <w:b/>
          <w:bCs/>
          <w:sz w:val="23"/>
          <w:szCs w:val="23"/>
          <w:lang w:val="en-US"/>
        </w:rPr>
        <w:t>Ministry of Finance, Economic Planning and Development</w:t>
      </w:r>
    </w:p>
    <w:p w14:paraId="12E19340" w14:textId="77777777" w:rsidR="0076511D" w:rsidRDefault="0076511D" w:rsidP="0076511D">
      <w:pPr>
        <w:overflowPunct/>
        <w:textAlignment w:val="auto"/>
        <w:rPr>
          <w:b/>
          <w:bCs/>
          <w:sz w:val="23"/>
          <w:szCs w:val="23"/>
          <w:lang w:val="en-US"/>
        </w:rPr>
      </w:pPr>
      <w:r>
        <w:rPr>
          <w:b/>
          <w:bCs/>
          <w:sz w:val="23"/>
          <w:szCs w:val="23"/>
          <w:lang w:val="en-US"/>
        </w:rPr>
        <w:t>Port Louis</w:t>
      </w:r>
    </w:p>
    <w:p w14:paraId="72DAC19C" w14:textId="2BEBDAB2" w:rsidR="0076511D" w:rsidRPr="00D4750A" w:rsidRDefault="000520E2" w:rsidP="0076511D">
      <w:pPr>
        <w:pStyle w:val="BodyText"/>
        <w:spacing w:line="240" w:lineRule="auto"/>
        <w:rPr>
          <w:bCs/>
          <w:sz w:val="23"/>
          <w:szCs w:val="23"/>
        </w:rPr>
      </w:pPr>
      <w:r>
        <w:rPr>
          <w:bCs/>
          <w:sz w:val="23"/>
          <w:szCs w:val="23"/>
        </w:rPr>
        <w:t xml:space="preserve">14 </w:t>
      </w:r>
      <w:r w:rsidR="00CA6157">
        <w:rPr>
          <w:bCs/>
          <w:sz w:val="23"/>
          <w:szCs w:val="23"/>
        </w:rPr>
        <w:t>April</w:t>
      </w:r>
      <w:r w:rsidR="00422829">
        <w:rPr>
          <w:bCs/>
          <w:sz w:val="23"/>
          <w:szCs w:val="23"/>
        </w:rPr>
        <w:t xml:space="preserve"> </w:t>
      </w:r>
      <w:r w:rsidR="00B50622">
        <w:rPr>
          <w:bCs/>
          <w:sz w:val="23"/>
          <w:szCs w:val="23"/>
        </w:rPr>
        <w:t>2021</w:t>
      </w:r>
    </w:p>
    <w:p w14:paraId="4D4262D3" w14:textId="77777777" w:rsidR="0076511D" w:rsidRDefault="0076511D" w:rsidP="0076511D">
      <w:pPr>
        <w:pStyle w:val="BodyText"/>
        <w:spacing w:line="240" w:lineRule="auto"/>
        <w:rPr>
          <w:b w:val="0"/>
          <w:bCs/>
          <w:sz w:val="23"/>
          <w:szCs w:val="23"/>
        </w:rPr>
      </w:pPr>
    </w:p>
    <w:p w14:paraId="06D61AE3" w14:textId="77777777" w:rsidR="00013613" w:rsidRDefault="00013613" w:rsidP="0076511D">
      <w:pPr>
        <w:pStyle w:val="BodyText"/>
        <w:spacing w:line="240" w:lineRule="auto"/>
        <w:rPr>
          <w:b w:val="0"/>
          <w:bCs/>
          <w:sz w:val="23"/>
          <w:szCs w:val="23"/>
        </w:rPr>
      </w:pPr>
    </w:p>
    <w:p w14:paraId="5ED22EF6" w14:textId="77777777" w:rsidR="003A7231" w:rsidRDefault="003A7231" w:rsidP="0076511D">
      <w:pPr>
        <w:pStyle w:val="BodyText"/>
        <w:spacing w:line="240" w:lineRule="auto"/>
        <w:rPr>
          <w:b w:val="0"/>
          <w:bCs/>
          <w:sz w:val="23"/>
          <w:szCs w:val="23"/>
        </w:rPr>
      </w:pPr>
    </w:p>
    <w:p w14:paraId="40606B8F" w14:textId="77777777" w:rsidR="00612231" w:rsidRDefault="00612231" w:rsidP="0076511D">
      <w:pPr>
        <w:pStyle w:val="BodyText"/>
        <w:spacing w:line="240" w:lineRule="auto"/>
        <w:rPr>
          <w:b w:val="0"/>
          <w:bCs/>
          <w:sz w:val="23"/>
          <w:szCs w:val="23"/>
        </w:rPr>
      </w:pPr>
    </w:p>
    <w:p w14:paraId="4E0B1EC5" w14:textId="77777777" w:rsidR="00612231" w:rsidRDefault="00612231" w:rsidP="0076511D">
      <w:pPr>
        <w:pStyle w:val="BodyText"/>
        <w:spacing w:line="240" w:lineRule="auto"/>
        <w:rPr>
          <w:b w:val="0"/>
          <w:bCs/>
          <w:sz w:val="23"/>
          <w:szCs w:val="23"/>
        </w:rPr>
      </w:pPr>
    </w:p>
    <w:p w14:paraId="1BA852E5" w14:textId="77777777" w:rsidR="00612231" w:rsidRDefault="00612231" w:rsidP="0076511D">
      <w:pPr>
        <w:pStyle w:val="BodyText"/>
        <w:spacing w:line="240" w:lineRule="auto"/>
        <w:rPr>
          <w:b w:val="0"/>
          <w:bCs/>
          <w:sz w:val="23"/>
          <w:szCs w:val="23"/>
        </w:rPr>
      </w:pPr>
    </w:p>
    <w:p w14:paraId="2380E12D" w14:textId="77777777" w:rsidR="00612231" w:rsidRDefault="00612231" w:rsidP="0076511D">
      <w:pPr>
        <w:pStyle w:val="BodyText"/>
        <w:spacing w:line="240" w:lineRule="auto"/>
        <w:rPr>
          <w:b w:val="0"/>
          <w:bCs/>
          <w:sz w:val="23"/>
          <w:szCs w:val="23"/>
        </w:rPr>
      </w:pPr>
    </w:p>
    <w:p w14:paraId="224B47DA" w14:textId="77777777" w:rsidR="00612231" w:rsidRDefault="00612231" w:rsidP="0076511D">
      <w:pPr>
        <w:pStyle w:val="BodyText"/>
        <w:spacing w:line="240" w:lineRule="auto"/>
        <w:rPr>
          <w:b w:val="0"/>
          <w:bCs/>
          <w:sz w:val="23"/>
          <w:szCs w:val="23"/>
        </w:rPr>
      </w:pPr>
    </w:p>
    <w:p w14:paraId="3D103B21" w14:textId="77777777" w:rsidR="006B7A70" w:rsidRDefault="006B7A70" w:rsidP="0076511D">
      <w:pPr>
        <w:pStyle w:val="BodyText"/>
        <w:spacing w:line="240" w:lineRule="auto"/>
        <w:rPr>
          <w:b w:val="0"/>
          <w:bCs/>
          <w:sz w:val="23"/>
          <w:szCs w:val="23"/>
        </w:rPr>
      </w:pPr>
    </w:p>
    <w:p w14:paraId="32B93F06" w14:textId="77777777" w:rsidR="00EC3B7F" w:rsidRDefault="00657F2A" w:rsidP="00EC3B7F">
      <w:r>
        <w:lastRenderedPageBreak/>
        <w:t>Note:</w:t>
      </w:r>
    </w:p>
    <w:p w14:paraId="07B3A173" w14:textId="77777777" w:rsidR="00EC3B7F" w:rsidRDefault="00EC3B7F" w:rsidP="00EC3B7F"/>
    <w:p w14:paraId="11456B35" w14:textId="77777777" w:rsidR="00EC3B7F" w:rsidRDefault="00EC3B7F" w:rsidP="00135CA3">
      <w:pPr>
        <w:numPr>
          <w:ilvl w:val="0"/>
          <w:numId w:val="2"/>
        </w:numPr>
        <w:spacing w:line="360" w:lineRule="auto"/>
      </w:pPr>
      <w:r>
        <w:t xml:space="preserve">This publication is available on the website of Statistics </w:t>
      </w:r>
      <w:r w:rsidR="000E0E3A">
        <w:t>Mauritius</w:t>
      </w:r>
      <w:r>
        <w:t xml:space="preserve"> at </w:t>
      </w:r>
      <w:hyperlink r:id="rId12" w:history="1">
        <w:r w:rsidR="00911C46" w:rsidRPr="000634AF">
          <w:rPr>
            <w:rStyle w:val="Hyperlink"/>
          </w:rPr>
          <w:t>http://statsmauritius.govmu.org</w:t>
        </w:r>
      </w:hyperlink>
      <w:r>
        <w:t xml:space="preserve"> From the homepage, choose “Publications” followed by “Economic and Social Indicators”, then “Consumer Price Index”.</w:t>
      </w:r>
    </w:p>
    <w:p w14:paraId="2F2E8D19" w14:textId="77777777" w:rsidR="00EC3B7F" w:rsidRDefault="00EC3B7F" w:rsidP="00EC3B7F">
      <w:pPr>
        <w:numPr>
          <w:ilvl w:val="0"/>
          <w:numId w:val="2"/>
        </w:numPr>
        <w:spacing w:line="360" w:lineRule="auto"/>
      </w:pPr>
      <w:r>
        <w:t>The monthly CPI is also available on our website. It is posted within 5 working days after the reference month.</w:t>
      </w:r>
    </w:p>
    <w:p w14:paraId="27E7BE71" w14:textId="77777777" w:rsidR="00EC3B7F" w:rsidRDefault="00EC3B7F" w:rsidP="00EC3B7F">
      <w:pPr>
        <w:numPr>
          <w:ilvl w:val="0"/>
          <w:numId w:val="2"/>
        </w:numPr>
        <w:spacing w:line="360" w:lineRule="auto"/>
      </w:pPr>
      <w:r w:rsidRPr="006F3EE9">
        <w:rPr>
          <w:bCs/>
        </w:rPr>
        <w:t>More detailed information on CPI can be made available upon request.</w:t>
      </w:r>
      <w:r w:rsidRPr="006F3EE9">
        <w:t> </w:t>
      </w:r>
    </w:p>
    <w:p w14:paraId="0081BE09" w14:textId="77777777" w:rsidR="00D76D10" w:rsidRPr="006F3EE9" w:rsidRDefault="00D76D10" w:rsidP="00D76D10">
      <w:pPr>
        <w:spacing w:line="360" w:lineRule="auto"/>
      </w:pPr>
    </w:p>
    <w:p w14:paraId="0C640F9A" w14:textId="77777777" w:rsidR="00D4750A" w:rsidRDefault="00EB68EE" w:rsidP="00D4750A">
      <w:pPr>
        <w:spacing w:line="360" w:lineRule="auto"/>
      </w:pPr>
      <w:r>
        <w:rPr>
          <w:noProof/>
          <w:lang w:val="en-US"/>
        </w:rPr>
        <mc:AlternateContent>
          <mc:Choice Requires="wps">
            <w:drawing>
              <wp:anchor distT="0" distB="0" distL="114300" distR="114300" simplePos="0" relativeHeight="251657216" behindDoc="0" locked="0" layoutInCell="1" allowOverlap="1" wp14:anchorId="1B069192" wp14:editId="660B4915">
                <wp:simplePos x="0" y="0"/>
                <wp:positionH relativeFrom="column">
                  <wp:posOffset>1689735</wp:posOffset>
                </wp:positionH>
                <wp:positionV relativeFrom="paragraph">
                  <wp:posOffset>199390</wp:posOffset>
                </wp:positionV>
                <wp:extent cx="2819400" cy="3304540"/>
                <wp:effectExtent l="9525" t="8890" r="9525" b="10795"/>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304540"/>
                        </a:xfrm>
                        <a:prstGeom prst="rect">
                          <a:avLst/>
                        </a:prstGeom>
                        <a:solidFill>
                          <a:srgbClr val="FFFFFF"/>
                        </a:solidFill>
                        <a:ln w="9525">
                          <a:solidFill>
                            <a:srgbClr val="000000"/>
                          </a:solidFill>
                          <a:miter lim="800000"/>
                          <a:headEnd/>
                          <a:tailEnd/>
                        </a:ln>
                      </wps:spPr>
                      <wps:txbx>
                        <w:txbxContent>
                          <w:p w14:paraId="4B4DE39A" w14:textId="77777777" w:rsidR="000E0E3A" w:rsidRDefault="000E0E3A" w:rsidP="00D4750A">
                            <w:r>
                              <w:t>Contact persons:</w:t>
                            </w:r>
                          </w:p>
                          <w:p w14:paraId="06217A4B" w14:textId="77777777" w:rsidR="000E0E3A" w:rsidRDefault="000E0E3A" w:rsidP="00D4750A"/>
                          <w:p w14:paraId="4D5D3F93" w14:textId="77777777" w:rsidR="000E0E3A" w:rsidRDefault="000E0E3A" w:rsidP="00A3628C">
                            <w:pPr>
                              <w:ind w:firstLine="288"/>
                            </w:pPr>
                            <w:r>
                              <w:t xml:space="preserve">(1)   </w:t>
                            </w:r>
                            <w:r>
                              <w:tab/>
                            </w:r>
                            <w:r w:rsidR="00B50622" w:rsidRPr="00B50622">
                              <w:t>Ms. A</w:t>
                            </w:r>
                            <w:r w:rsidR="009910B5">
                              <w:t xml:space="preserve">shwinee </w:t>
                            </w:r>
                            <w:r w:rsidR="00B50622" w:rsidRPr="00B50622">
                              <w:t>D</w:t>
                            </w:r>
                            <w:r w:rsidR="009910B5">
                              <w:t>evi</w:t>
                            </w:r>
                            <w:r w:rsidR="00B50622" w:rsidRPr="00B50622">
                              <w:t xml:space="preserve"> Soobhug</w:t>
                            </w:r>
                          </w:p>
                          <w:p w14:paraId="0D5CCA50" w14:textId="77777777" w:rsidR="000E0E3A" w:rsidRDefault="000E0E3A" w:rsidP="00D4750A">
                            <w:r>
                              <w:t xml:space="preserve">            </w:t>
                            </w:r>
                            <w:r>
                              <w:tab/>
                              <w:t>Statistician</w:t>
                            </w:r>
                          </w:p>
                          <w:p w14:paraId="3BCA25B8" w14:textId="77777777" w:rsidR="000E0E3A" w:rsidRDefault="000E0E3A" w:rsidP="00D4750A">
                            <w:r>
                              <w:tab/>
                            </w:r>
                            <w:r>
                              <w:tab/>
                            </w:r>
                            <w:r>
                              <w:tab/>
                            </w:r>
                            <w:hyperlink r:id="rId13" w:history="1">
                              <w:r w:rsidR="00543AB4" w:rsidRPr="00AE0525">
                                <w:rPr>
                                  <w:rStyle w:val="Hyperlink"/>
                                </w:rPr>
                                <w:t>asoobhug@govmu.org</w:t>
                              </w:r>
                            </w:hyperlink>
                          </w:p>
                          <w:p w14:paraId="5515E8B2" w14:textId="77777777" w:rsidR="000E0E3A" w:rsidRDefault="000E0E3A" w:rsidP="00D4750A"/>
                          <w:p w14:paraId="448CE13C" w14:textId="77777777" w:rsidR="000E0E3A" w:rsidRDefault="000E0E3A" w:rsidP="0046047D">
                            <w:pPr>
                              <w:ind w:firstLine="288"/>
                            </w:pPr>
                            <w:r>
                              <w:t xml:space="preserve">(2)   </w:t>
                            </w:r>
                            <w:r>
                              <w:tab/>
                              <w:t>Mr</w:t>
                            </w:r>
                            <w:r w:rsidR="00C669AA">
                              <w:t>s</w:t>
                            </w:r>
                            <w:r w:rsidR="00D61C97">
                              <w:t>.</w:t>
                            </w:r>
                            <w:r>
                              <w:t xml:space="preserve"> </w:t>
                            </w:r>
                            <w:r w:rsidR="00C669AA">
                              <w:t>Gyantee Jugoo</w:t>
                            </w:r>
                          </w:p>
                          <w:p w14:paraId="6BA99C34" w14:textId="77777777" w:rsidR="000E0E3A" w:rsidRDefault="000E0E3A" w:rsidP="0046047D">
                            <w:r>
                              <w:t xml:space="preserve">            </w:t>
                            </w:r>
                            <w:r>
                              <w:tab/>
                              <w:t>Senior Statistical Officer</w:t>
                            </w:r>
                          </w:p>
                          <w:p w14:paraId="64DA55D3" w14:textId="77777777" w:rsidR="000E0E3A" w:rsidRDefault="000E0E3A" w:rsidP="0046047D">
                            <w:r>
                              <w:tab/>
                            </w:r>
                            <w:r>
                              <w:tab/>
                            </w:r>
                            <w:r>
                              <w:tab/>
                            </w:r>
                            <w:hyperlink r:id="rId14" w:history="1">
                              <w:r w:rsidR="0068319E" w:rsidRPr="00E80AEA">
                                <w:rPr>
                                  <w:rStyle w:val="Hyperlink"/>
                                </w:rPr>
                                <w:t>gjugoo@govmu.org</w:t>
                              </w:r>
                            </w:hyperlink>
                          </w:p>
                          <w:p w14:paraId="271B5EE3" w14:textId="77777777" w:rsidR="000E0E3A" w:rsidRDefault="000E0E3A" w:rsidP="0046047D"/>
                          <w:p w14:paraId="6013FF22" w14:textId="77777777" w:rsidR="000E0E3A" w:rsidRDefault="000E0E3A" w:rsidP="0046047D"/>
                          <w:p w14:paraId="7A2F9EEE" w14:textId="77777777" w:rsidR="000E0E3A" w:rsidRDefault="00E17A8C" w:rsidP="00D4750A">
                            <w:r>
                              <w:t xml:space="preserve">     </w:t>
                            </w:r>
                            <w:r>
                              <w:tab/>
                            </w:r>
                            <w:r>
                              <w:tab/>
                              <w:t>CPI Unit</w:t>
                            </w:r>
                          </w:p>
                          <w:p w14:paraId="0FF0F9AA" w14:textId="77777777" w:rsidR="000E0E3A" w:rsidRDefault="000E0E3A" w:rsidP="00D4750A">
                            <w:r>
                              <w:tab/>
                            </w:r>
                            <w:r>
                              <w:tab/>
                            </w:r>
                            <w:r>
                              <w:tab/>
                              <w:t xml:space="preserve">Statistics </w:t>
                            </w:r>
                            <w:r w:rsidR="003A0212">
                              <w:t>Mauritius</w:t>
                            </w:r>
                          </w:p>
                          <w:p w14:paraId="2AA6A322" w14:textId="77777777" w:rsidR="000E0E3A" w:rsidRDefault="000E0E3A" w:rsidP="00D4750A">
                            <w:r>
                              <w:tab/>
                            </w:r>
                            <w:r>
                              <w:tab/>
                            </w:r>
                            <w:r>
                              <w:tab/>
                            </w:r>
                            <w:smartTag w:uri="urn:schemas-microsoft-com:office:smarttags" w:element="PlaceName">
                              <w:r>
                                <w:t>LIC</w:t>
                              </w:r>
                            </w:smartTag>
                            <w:r>
                              <w:t xml:space="preserve"> </w:t>
                            </w:r>
                            <w:smartTag w:uri="urn:schemas-microsoft-com:office:smarttags" w:element="PlaceType">
                              <w:r>
                                <w:t>Building</w:t>
                              </w:r>
                            </w:smartTag>
                            <w:r>
                              <w:t xml:space="preserve">, </w:t>
                            </w:r>
                            <w:smartTag w:uri="urn:schemas-microsoft-com:office:smarttags" w:element="place">
                              <w:smartTag w:uri="urn:schemas-microsoft-com:office:smarttags" w:element="City">
                                <w:r>
                                  <w:t>Port Louis</w:t>
                                </w:r>
                              </w:smartTag>
                            </w:smartTag>
                          </w:p>
                          <w:p w14:paraId="55CD27EA" w14:textId="77777777" w:rsidR="000E0E3A" w:rsidRDefault="00552F1E" w:rsidP="00D4750A">
                            <w:r>
                              <w:tab/>
                            </w:r>
                            <w:r>
                              <w:tab/>
                            </w:r>
                            <w:r>
                              <w:tab/>
                              <w:t>Tel</w:t>
                            </w:r>
                            <w:r w:rsidR="000E0E3A">
                              <w:t xml:space="preserve">: </w:t>
                            </w:r>
                            <w:r w:rsidR="00E17A8C">
                              <w:t>(</w:t>
                            </w:r>
                            <w:r w:rsidR="00F82407">
                              <w:t>+</w:t>
                            </w:r>
                            <w:r w:rsidR="00E17A8C">
                              <w:t xml:space="preserve">230) </w:t>
                            </w:r>
                            <w:r w:rsidR="00E3595C">
                              <w:t>208 1800</w:t>
                            </w:r>
                          </w:p>
                          <w:p w14:paraId="3A8130AC" w14:textId="77777777" w:rsidR="000E0E3A" w:rsidRDefault="000E0E3A" w:rsidP="00D4750A">
                            <w:r>
                              <w:tab/>
                            </w:r>
                            <w:r>
                              <w:tab/>
                            </w:r>
                            <w:r>
                              <w:tab/>
                              <w:t>Fax</w:t>
                            </w:r>
                            <w:r w:rsidR="0013498B">
                              <w:t>: (</w:t>
                            </w:r>
                            <w:r w:rsidR="00F82407">
                              <w:t>+</w:t>
                            </w:r>
                            <w:r w:rsidR="00E17A8C">
                              <w:t xml:space="preserve">230) </w:t>
                            </w:r>
                            <w:r>
                              <w:t>211 4150</w:t>
                            </w:r>
                          </w:p>
                          <w:p w14:paraId="09350935" w14:textId="77777777" w:rsidR="000E0E3A" w:rsidRDefault="0068319E" w:rsidP="00D4750A">
                            <w:r>
                              <w:t xml:space="preserve">     </w:t>
                            </w:r>
                            <w:r>
                              <w:tab/>
                            </w:r>
                            <w:r>
                              <w:tab/>
                              <w:t xml:space="preserve">Email: </w:t>
                            </w:r>
                            <w:hyperlink r:id="rId15" w:history="1">
                              <w:r w:rsidR="00543AB4" w:rsidRPr="00AE0525">
                                <w:rPr>
                                  <w:rStyle w:val="Hyperlink"/>
                                </w:rPr>
                                <w:t>cso_cpi@govmu.org</w:t>
                              </w:r>
                            </w:hyperlink>
                          </w:p>
                          <w:p w14:paraId="52AEFE1C" w14:textId="77777777" w:rsidR="00543AB4" w:rsidRDefault="00543AB4" w:rsidP="00D4750A"/>
                          <w:p w14:paraId="1E57596E" w14:textId="77777777" w:rsidR="000E0E3A" w:rsidRDefault="000E0E3A" w:rsidP="00D475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33.05pt;margin-top:15.7pt;width:222pt;height:26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">
                <v:textbox>
                  <w:txbxContent>
                    <w:p w:rsidR="000E0E3A" w:rsidRDefault="000E0E3A" w:rsidP="00D4750A">
                      <w:r>
                        <w:t>Contact persons:</w:t>
                      </w:r>
                    </w:p>
                    <w:p w:rsidR="000E0E3A" w:rsidRDefault="000E0E3A" w:rsidP="00D4750A"/>
                    <w:p w:rsidR="000E0E3A" w:rsidRDefault="000E0E3A" w:rsidP="00A3628C">
                      <w:pPr>
                        <w:ind w:firstLine="288"/>
                      </w:pPr>
                      <w:r>
                        <w:t xml:space="preserve">(1)   </w:t>
                      </w:r>
                      <w:r>
                        <w:tab/>
                      </w:r>
                      <w:r w:rsidR="00B50622" w:rsidRPr="00B50622">
                        <w:t>Ms. A</w:t>
                      </w:r>
                      <w:r w:rsidR="009910B5">
                        <w:t xml:space="preserve">shwinee </w:t>
                      </w:r>
                      <w:r w:rsidR="00B50622" w:rsidRPr="00B50622">
                        <w:t>D</w:t>
                      </w:r>
                      <w:r w:rsidR="009910B5">
                        <w:t>evi</w:t>
                      </w:r>
                      <w:r w:rsidR="00B50622" w:rsidRPr="00B50622">
                        <w:t xml:space="preserve"> Soobhug</w:t>
                      </w:r>
                    </w:p>
                    <w:p w:rsidR="000E0E3A" w:rsidRDefault="000E0E3A" w:rsidP="00D4750A">
                      <w:r>
                        <w:t xml:space="preserve">            </w:t>
                      </w:r>
                      <w:r>
                        <w:tab/>
                        <w:t>Statistician</w:t>
                      </w:r>
                    </w:p>
                    <w:p w:rsidR="000E0E3A" w:rsidRDefault="000E0E3A" w:rsidP="00D4750A">
                      <w:r>
                        <w:tab/>
                      </w:r>
                      <w:r>
                        <w:tab/>
                      </w:r>
                      <w:r>
                        <w:tab/>
                      </w:r>
                      <w:hyperlink r:id="rId16" w:history="1">
                        <w:r w:rsidR="00543AB4" w:rsidRPr="00AE0525">
                          <w:rPr>
                            <w:rStyle w:val="Hyperlink"/>
                          </w:rPr>
                          <w:t>asoobhug@govmu.org</w:t>
                        </w:r>
                      </w:hyperlink>
                    </w:p>
                    <w:p w:rsidR="000E0E3A" w:rsidRDefault="000E0E3A" w:rsidP="00D4750A"/>
                    <w:p w:rsidR="000E0E3A" w:rsidRDefault="000E0E3A" w:rsidP="0046047D">
                      <w:pPr>
                        <w:ind w:firstLine="288"/>
                      </w:pPr>
                      <w:r>
                        <w:t xml:space="preserve">(2)   </w:t>
                      </w:r>
                      <w:r>
                        <w:tab/>
                        <w:t>Mr</w:t>
                      </w:r>
                      <w:r w:rsidR="00C669AA">
                        <w:t>s</w:t>
                      </w:r>
                      <w:r w:rsidR="00D61C97">
                        <w:t>.</w:t>
                      </w:r>
                      <w:r>
                        <w:t xml:space="preserve"> </w:t>
                      </w:r>
                      <w:r w:rsidR="00C669AA">
                        <w:t>Gyantee Jugoo</w:t>
                      </w:r>
                    </w:p>
                    <w:p w:rsidR="000E0E3A" w:rsidRDefault="000E0E3A" w:rsidP="0046047D">
                      <w:r>
                        <w:t xml:space="preserve">            </w:t>
                      </w:r>
                      <w:r>
                        <w:tab/>
                        <w:t>Senior Statistical Officer</w:t>
                      </w:r>
                    </w:p>
                    <w:p w:rsidR="000E0E3A" w:rsidRDefault="000E0E3A" w:rsidP="0046047D">
                      <w:r>
                        <w:tab/>
                      </w:r>
                      <w:r>
                        <w:tab/>
                      </w:r>
                      <w:r>
                        <w:tab/>
                      </w:r>
                      <w:hyperlink r:id="rId17" w:history="1">
                        <w:r w:rsidR="0068319E" w:rsidRPr="00E80AEA">
                          <w:rPr>
                            <w:rStyle w:val="Hyperlink"/>
                          </w:rPr>
                          <w:t>gjugoo@govmu.org</w:t>
                        </w:r>
                      </w:hyperlink>
                    </w:p>
                    <w:p w:rsidR="000E0E3A" w:rsidRDefault="000E0E3A" w:rsidP="0046047D"/>
                    <w:p w:rsidR="000E0E3A" w:rsidRDefault="000E0E3A" w:rsidP="0046047D"/>
                    <w:p w:rsidR="000E0E3A" w:rsidRDefault="00E17A8C" w:rsidP="00D4750A">
                      <w:r>
                        <w:t xml:space="preserve">     </w:t>
                      </w:r>
                      <w:r>
                        <w:tab/>
                      </w:r>
                      <w:r>
                        <w:tab/>
                        <w:t>CPI Unit</w:t>
                      </w:r>
                    </w:p>
                    <w:p w:rsidR="000E0E3A" w:rsidRDefault="000E0E3A" w:rsidP="00D4750A">
                      <w:r>
                        <w:tab/>
                      </w:r>
                      <w:r>
                        <w:tab/>
                      </w:r>
                      <w:r>
                        <w:tab/>
                        <w:t xml:space="preserve">Statistics </w:t>
                      </w:r>
                      <w:r w:rsidR="003A0212">
                        <w:t>Mauritius</w:t>
                      </w:r>
                    </w:p>
                    <w:p w:rsidR="000E0E3A" w:rsidRDefault="000E0E3A" w:rsidP="00D4750A">
                      <w:r>
                        <w:tab/>
                      </w:r>
                      <w:r>
                        <w:tab/>
                      </w:r>
                      <w:r>
                        <w:tab/>
                      </w:r>
                      <w:smartTag w:uri="urn:schemas-microsoft-com:office:smarttags" w:element="PlaceName">
                        <w:r>
                          <w:t>LIC</w:t>
                        </w:r>
                      </w:smartTag>
                      <w:r>
                        <w:t xml:space="preserve"> </w:t>
                      </w:r>
                      <w:smartTag w:uri="urn:schemas-microsoft-com:office:smarttags" w:element="PlaceType">
                        <w:r>
                          <w:t>Building</w:t>
                        </w:r>
                      </w:smartTag>
                      <w:r>
                        <w:t xml:space="preserve">, </w:t>
                      </w:r>
                      <w:smartTag w:uri="urn:schemas-microsoft-com:office:smarttags" w:element="City">
                        <w:smartTag w:uri="urn:schemas-microsoft-com:office:smarttags" w:element="place">
                          <w:r>
                            <w:t>Port Louis</w:t>
                          </w:r>
                        </w:smartTag>
                      </w:smartTag>
                    </w:p>
                    <w:p w:rsidR="000E0E3A" w:rsidRDefault="00552F1E" w:rsidP="00D4750A">
                      <w:r>
                        <w:tab/>
                      </w:r>
                      <w:r>
                        <w:tab/>
                      </w:r>
                      <w:r>
                        <w:tab/>
                        <w:t>Tel</w:t>
                      </w:r>
                      <w:r w:rsidR="000E0E3A">
                        <w:t xml:space="preserve">: </w:t>
                      </w:r>
                      <w:r w:rsidR="00E17A8C">
                        <w:t>(</w:t>
                      </w:r>
                      <w:r w:rsidR="00F82407">
                        <w:t>+</w:t>
                      </w:r>
                      <w:r w:rsidR="00E17A8C">
                        <w:t xml:space="preserve">230) </w:t>
                      </w:r>
                      <w:r w:rsidR="00E3595C">
                        <w:t>208 1800</w:t>
                      </w:r>
                    </w:p>
                    <w:p w:rsidR="000E0E3A" w:rsidRDefault="000E0E3A" w:rsidP="00D4750A">
                      <w:r>
                        <w:tab/>
                      </w:r>
                      <w:r>
                        <w:tab/>
                      </w:r>
                      <w:r>
                        <w:tab/>
                        <w:t>Fax</w:t>
                      </w:r>
                      <w:r w:rsidR="0013498B">
                        <w:t>: (</w:t>
                      </w:r>
                      <w:r w:rsidR="00F82407">
                        <w:t>+</w:t>
                      </w:r>
                      <w:r w:rsidR="00E17A8C">
                        <w:t xml:space="preserve">230) </w:t>
                      </w:r>
                      <w:r>
                        <w:t>211 4150</w:t>
                      </w:r>
                    </w:p>
                    <w:p w:rsidR="000E0E3A" w:rsidRDefault="0068319E" w:rsidP="00D4750A">
                      <w:r>
                        <w:t xml:space="preserve">     </w:t>
                      </w:r>
                      <w:r>
                        <w:tab/>
                      </w:r>
                      <w:r>
                        <w:tab/>
                        <w:t xml:space="preserve">Email: </w:t>
                      </w:r>
                      <w:hyperlink r:id="rId18" w:history="1">
                        <w:r w:rsidR="00543AB4" w:rsidRPr="00AE0525">
                          <w:rPr>
                            <w:rStyle w:val="Hyperlink"/>
                          </w:rPr>
                          <w:t>cso_cpi@govmu.org</w:t>
                        </w:r>
                      </w:hyperlink>
                    </w:p>
                    <w:p w:rsidR="00543AB4" w:rsidRDefault="00543AB4" w:rsidP="00D4750A"/>
                    <w:p w:rsidR="000E0E3A" w:rsidRDefault="000E0E3A" w:rsidP="00D4750A"/>
                  </w:txbxContent>
                </v:textbox>
              </v:shape>
            </w:pict>
          </mc:Fallback>
        </mc:AlternateContent>
      </w:r>
    </w:p>
    <w:p w14:paraId="75B7407D" w14:textId="77777777" w:rsidR="00D4750A" w:rsidRDefault="00D4750A" w:rsidP="00D4750A">
      <w:pPr>
        <w:spacing w:line="360" w:lineRule="auto"/>
      </w:pPr>
    </w:p>
    <w:p w14:paraId="1231F3EF" w14:textId="77777777" w:rsidR="00D4750A" w:rsidRDefault="00D4750A" w:rsidP="00D4750A">
      <w:pPr>
        <w:spacing w:line="360" w:lineRule="auto"/>
      </w:pPr>
    </w:p>
    <w:p w14:paraId="2167E514" w14:textId="77777777" w:rsidR="00D4750A" w:rsidRDefault="00D4750A" w:rsidP="00D4750A">
      <w:pPr>
        <w:spacing w:line="360" w:lineRule="auto"/>
      </w:pPr>
    </w:p>
    <w:p w14:paraId="29CBEE28" w14:textId="77777777" w:rsidR="00D4750A" w:rsidRDefault="00D4750A" w:rsidP="00D4750A">
      <w:pPr>
        <w:spacing w:line="360" w:lineRule="auto"/>
      </w:pPr>
    </w:p>
    <w:p w14:paraId="0F7C4FB9" w14:textId="77777777" w:rsidR="00D4750A" w:rsidRDefault="00D4750A" w:rsidP="00D4750A">
      <w:pPr>
        <w:spacing w:line="360" w:lineRule="auto"/>
      </w:pPr>
    </w:p>
    <w:p w14:paraId="2F0B21DB" w14:textId="77777777" w:rsidR="00D4750A" w:rsidRDefault="00D4750A" w:rsidP="00D4750A">
      <w:pPr>
        <w:spacing w:line="360" w:lineRule="auto"/>
      </w:pPr>
    </w:p>
    <w:p w14:paraId="591EAA7F" w14:textId="77777777" w:rsidR="00D4750A" w:rsidRDefault="00D4750A" w:rsidP="00D4750A">
      <w:pPr>
        <w:spacing w:line="360" w:lineRule="auto"/>
      </w:pPr>
    </w:p>
    <w:p w14:paraId="087F9F1C" w14:textId="77777777" w:rsidR="00D4750A" w:rsidRDefault="00D4750A" w:rsidP="00D4750A">
      <w:pPr>
        <w:spacing w:line="360" w:lineRule="auto"/>
      </w:pPr>
    </w:p>
    <w:p w14:paraId="2307A7E7" w14:textId="77777777" w:rsidR="00D4750A" w:rsidRDefault="00D4750A" w:rsidP="00D4750A">
      <w:pPr>
        <w:spacing w:line="360" w:lineRule="auto"/>
      </w:pPr>
    </w:p>
    <w:p w14:paraId="77C0FB44" w14:textId="77777777" w:rsidR="00D4750A" w:rsidRDefault="00D4750A" w:rsidP="00D4750A">
      <w:pPr>
        <w:spacing w:line="360" w:lineRule="auto"/>
      </w:pPr>
    </w:p>
    <w:p w14:paraId="4174624E" w14:textId="77777777" w:rsidR="00D4750A" w:rsidRDefault="00D4750A" w:rsidP="00D4750A">
      <w:pPr>
        <w:spacing w:line="360" w:lineRule="auto"/>
      </w:pPr>
    </w:p>
    <w:p w14:paraId="28EC14E4" w14:textId="77777777" w:rsidR="00D4750A" w:rsidRDefault="00D4750A" w:rsidP="00D4750A">
      <w:pPr>
        <w:spacing w:line="360" w:lineRule="auto"/>
      </w:pPr>
    </w:p>
    <w:p w14:paraId="03EA3E68" w14:textId="77777777" w:rsidR="00D4750A" w:rsidRDefault="00D4750A" w:rsidP="00D4750A">
      <w:pPr>
        <w:spacing w:line="360" w:lineRule="auto"/>
      </w:pPr>
    </w:p>
    <w:p w14:paraId="4C68CB83" w14:textId="77777777" w:rsidR="006E425B" w:rsidRDefault="006E425B" w:rsidP="00D4750A">
      <w:pPr>
        <w:spacing w:line="360" w:lineRule="auto"/>
      </w:pPr>
    </w:p>
    <w:p w14:paraId="6B542F1D" w14:textId="77777777" w:rsidR="006E425B" w:rsidRDefault="006E425B" w:rsidP="00D4750A">
      <w:pPr>
        <w:spacing w:line="360" w:lineRule="auto"/>
      </w:pPr>
    </w:p>
    <w:p w14:paraId="17A0532A" w14:textId="77777777" w:rsidR="006E425B" w:rsidRDefault="006E425B" w:rsidP="00D4750A">
      <w:pPr>
        <w:spacing w:line="360" w:lineRule="auto"/>
      </w:pPr>
    </w:p>
    <w:p w14:paraId="7CA32DD3" w14:textId="77777777" w:rsidR="006E425B" w:rsidRDefault="006E425B" w:rsidP="00D4750A">
      <w:pPr>
        <w:spacing w:line="360" w:lineRule="auto"/>
      </w:pPr>
    </w:p>
    <w:p w14:paraId="1B21E101" w14:textId="77777777" w:rsidR="006E425B" w:rsidRDefault="006E425B" w:rsidP="00D4750A">
      <w:pPr>
        <w:spacing w:line="360" w:lineRule="auto"/>
      </w:pPr>
    </w:p>
    <w:p w14:paraId="7DC1A5D2" w14:textId="77777777" w:rsidR="00DB7EED" w:rsidRDefault="00DB7EED" w:rsidP="00D4750A">
      <w:pPr>
        <w:spacing w:line="360" w:lineRule="auto"/>
        <w:sectPr w:rsidR="00DB7EED" w:rsidSect="009F4098">
          <w:headerReference w:type="even" r:id="rId19"/>
          <w:headerReference w:type="default" r:id="rId20"/>
          <w:type w:val="continuous"/>
          <w:pgSz w:w="11909" w:h="16834" w:code="9"/>
          <w:pgMar w:top="567" w:right="1136" w:bottom="259" w:left="1134" w:header="720" w:footer="432" w:gutter="0"/>
          <w:cols w:space="720"/>
          <w:titlePg/>
        </w:sectPr>
      </w:pPr>
    </w:p>
    <w:p w14:paraId="09036DEA" w14:textId="77777777" w:rsidR="006E425B" w:rsidRDefault="006E425B" w:rsidP="00D4750A">
      <w:pPr>
        <w:spacing w:line="360" w:lineRule="auto"/>
      </w:pPr>
    </w:p>
    <w:p w14:paraId="639C70F7" w14:textId="77777777" w:rsidR="00C52048" w:rsidRPr="000F2762" w:rsidRDefault="00EB68EE" w:rsidP="00C52048">
      <w:pPr>
        <w:pStyle w:val="Title"/>
        <w:spacing w:line="276" w:lineRule="auto"/>
        <w:rPr>
          <w:sz w:val="24"/>
        </w:rPr>
      </w:pPr>
      <w:r>
        <w:rPr>
          <w:noProof/>
          <w:sz w:val="24"/>
          <w:lang w:val="en-US"/>
        </w:rPr>
        <mc:AlternateContent>
          <mc:Choice Requires="wps">
            <w:drawing>
              <wp:anchor distT="0" distB="0" distL="114300" distR="114300" simplePos="0" relativeHeight="251659264" behindDoc="0" locked="0" layoutInCell="1" allowOverlap="1" wp14:anchorId="59FF8990" wp14:editId="3B4D3879">
                <wp:simplePos x="0" y="0"/>
                <wp:positionH relativeFrom="column">
                  <wp:posOffset>5194935</wp:posOffset>
                </wp:positionH>
                <wp:positionV relativeFrom="paragraph">
                  <wp:posOffset>-454660</wp:posOffset>
                </wp:positionV>
                <wp:extent cx="800100" cy="342900"/>
                <wp:effectExtent l="0" t="2540" r="3175"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81B69" w14:textId="77777777" w:rsidR="00C52048" w:rsidRDefault="00C52048" w:rsidP="00C52048">
                            <w:pPr>
                              <w:pStyle w:val="Heading1"/>
                            </w:pPr>
                            <w:r>
                              <w:t>ANNEX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409.05pt;margin-top:-35.8pt;width:6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vJtgQIAABY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" stroked="f">
                <v:textbox>
                  <w:txbxContent>
                    <w:p w:rsidR="00C52048" w:rsidRDefault="00C52048" w:rsidP="00C52048">
                      <w:pPr>
                        <w:pStyle w:val="Heading1"/>
                      </w:pPr>
                      <w:r>
                        <w:t>ANNEX</w:t>
                      </w:r>
                    </w:p>
                  </w:txbxContent>
                </v:textbox>
              </v:shape>
            </w:pict>
          </mc:Fallback>
        </mc:AlternateContent>
      </w:r>
      <w:r w:rsidR="00C52048" w:rsidRPr="000F2762">
        <w:rPr>
          <w:sz w:val="24"/>
        </w:rPr>
        <w:t>Technical note</w:t>
      </w:r>
    </w:p>
    <w:p w14:paraId="03A68E19" w14:textId="77777777" w:rsidR="00C52048" w:rsidRPr="000F2762" w:rsidRDefault="00C52048" w:rsidP="00C52048">
      <w:pPr>
        <w:pStyle w:val="Title"/>
        <w:spacing w:line="276" w:lineRule="auto"/>
        <w:jc w:val="left"/>
        <w:rPr>
          <w:b w:val="0"/>
          <w:bCs/>
          <w:sz w:val="24"/>
        </w:rPr>
      </w:pPr>
    </w:p>
    <w:p w14:paraId="27A60ACF" w14:textId="77777777" w:rsidR="00C52048" w:rsidRPr="000F2762" w:rsidRDefault="00C52048" w:rsidP="00C52048">
      <w:pPr>
        <w:pStyle w:val="Title"/>
        <w:spacing w:line="276" w:lineRule="auto"/>
        <w:jc w:val="left"/>
        <w:rPr>
          <w:sz w:val="24"/>
        </w:rPr>
      </w:pPr>
      <w:r w:rsidRPr="000F2762">
        <w:rPr>
          <w:sz w:val="24"/>
        </w:rPr>
        <w:t>1. Methodology used for the computation of the Consumer Price Index</w:t>
      </w:r>
    </w:p>
    <w:p w14:paraId="27F963BE" w14:textId="77777777" w:rsidR="00C52048" w:rsidRPr="000F2762" w:rsidRDefault="00C52048" w:rsidP="00C52048">
      <w:pPr>
        <w:pStyle w:val="Title"/>
        <w:spacing w:line="276" w:lineRule="auto"/>
        <w:jc w:val="left"/>
        <w:rPr>
          <w:sz w:val="24"/>
        </w:rPr>
      </w:pPr>
      <w:r w:rsidRPr="000F2762">
        <w:rPr>
          <w:sz w:val="24"/>
        </w:rPr>
        <w:t xml:space="preserve">   (Base</w:t>
      </w:r>
      <w:r>
        <w:rPr>
          <w:sz w:val="24"/>
        </w:rPr>
        <w:t xml:space="preserve"> period: January - December 2017</w:t>
      </w:r>
      <w:r w:rsidRPr="000F2762">
        <w:rPr>
          <w:sz w:val="24"/>
        </w:rPr>
        <w:t xml:space="preserve"> = 100)</w:t>
      </w:r>
    </w:p>
    <w:p w14:paraId="257440DF" w14:textId="77777777" w:rsidR="00C52048" w:rsidRPr="000F2762" w:rsidRDefault="00C52048" w:rsidP="00C52048">
      <w:pPr>
        <w:spacing w:line="276" w:lineRule="auto"/>
        <w:rPr>
          <w:b/>
        </w:rPr>
      </w:pPr>
    </w:p>
    <w:p w14:paraId="77E98479" w14:textId="77777777" w:rsidR="00C52048" w:rsidRPr="000F2762" w:rsidRDefault="00C52048" w:rsidP="00C52048">
      <w:pPr>
        <w:pStyle w:val="Title"/>
        <w:spacing w:line="276" w:lineRule="auto"/>
        <w:jc w:val="both"/>
        <w:rPr>
          <w:b w:val="0"/>
          <w:bCs/>
          <w:sz w:val="24"/>
          <w:u w:val="single"/>
        </w:rPr>
      </w:pPr>
      <w:r w:rsidRPr="000F2762">
        <w:rPr>
          <w:b w:val="0"/>
          <w:bCs/>
          <w:sz w:val="24"/>
        </w:rPr>
        <w:t xml:space="preserve">(a) </w:t>
      </w:r>
      <w:r w:rsidRPr="000F2762">
        <w:rPr>
          <w:b w:val="0"/>
          <w:bCs/>
          <w:sz w:val="24"/>
          <w:u w:val="single"/>
        </w:rPr>
        <w:t>Definition</w:t>
      </w:r>
    </w:p>
    <w:p w14:paraId="548C1183" w14:textId="77777777" w:rsidR="00C52048" w:rsidRPr="000F2762" w:rsidRDefault="00C52048" w:rsidP="00C52048">
      <w:pPr>
        <w:spacing w:line="276" w:lineRule="auto"/>
        <w:rPr>
          <w:b/>
          <w:bCs/>
        </w:rPr>
      </w:pPr>
    </w:p>
    <w:p w14:paraId="1C88BCA9" w14:textId="77777777" w:rsidR="00C52048" w:rsidRPr="000F2762" w:rsidRDefault="00C52048" w:rsidP="00C52048">
      <w:pPr>
        <w:pStyle w:val="Title"/>
        <w:spacing w:line="276" w:lineRule="auto"/>
        <w:jc w:val="both"/>
        <w:rPr>
          <w:b w:val="0"/>
          <w:bCs/>
          <w:sz w:val="24"/>
        </w:rPr>
      </w:pPr>
      <w:r w:rsidRPr="000F2762">
        <w:rPr>
          <w:b w:val="0"/>
          <w:bCs/>
          <w:sz w:val="24"/>
        </w:rPr>
        <w:t xml:space="preserve">The </w:t>
      </w:r>
      <w:r w:rsidRPr="000F2762">
        <w:rPr>
          <w:sz w:val="24"/>
        </w:rPr>
        <w:t>Consumer Price Index</w:t>
      </w:r>
      <w:r w:rsidRPr="000F2762">
        <w:rPr>
          <w:b w:val="0"/>
          <w:bCs/>
          <w:sz w:val="24"/>
        </w:rPr>
        <w:t xml:space="preserve"> (CPI) is an indicator of changes over time in the general level of prices of goods and services acquired by Mauritian consumers.  </w:t>
      </w:r>
    </w:p>
    <w:p w14:paraId="44BA72B7" w14:textId="77777777" w:rsidR="00C52048" w:rsidRPr="000F2762" w:rsidRDefault="00C52048" w:rsidP="00C52048">
      <w:pPr>
        <w:spacing w:line="276" w:lineRule="auto"/>
        <w:rPr>
          <w:bCs/>
        </w:rPr>
      </w:pPr>
    </w:p>
    <w:p w14:paraId="3FCFAFB8" w14:textId="77777777" w:rsidR="00C52048" w:rsidRPr="000F2762" w:rsidRDefault="00C52048" w:rsidP="00C52048">
      <w:pPr>
        <w:spacing w:line="276" w:lineRule="auto"/>
        <w:rPr>
          <w:bCs/>
          <w:u w:val="single"/>
        </w:rPr>
      </w:pPr>
      <w:r w:rsidRPr="000F2762">
        <w:rPr>
          <w:bCs/>
        </w:rPr>
        <w:t xml:space="preserve">(b) </w:t>
      </w:r>
      <w:r w:rsidRPr="000F2762">
        <w:rPr>
          <w:bCs/>
          <w:u w:val="single"/>
        </w:rPr>
        <w:t>Measurement of the CPI</w:t>
      </w:r>
    </w:p>
    <w:p w14:paraId="1D950C7F" w14:textId="77777777" w:rsidR="00C52048" w:rsidRPr="000F2762" w:rsidRDefault="00C52048" w:rsidP="00C52048">
      <w:pPr>
        <w:spacing w:line="276" w:lineRule="auto"/>
        <w:rPr>
          <w:bCs/>
          <w:u w:val="single"/>
        </w:rPr>
      </w:pPr>
    </w:p>
    <w:p w14:paraId="7A0D3821" w14:textId="77777777" w:rsidR="00C52048" w:rsidRPr="000F2762" w:rsidRDefault="00C52048" w:rsidP="00C52048">
      <w:pPr>
        <w:spacing w:line="276" w:lineRule="auto"/>
      </w:pPr>
      <w:r w:rsidRPr="000F2762">
        <w:rPr>
          <w:color w:val="000000"/>
        </w:rPr>
        <w:t xml:space="preserve">The CPI measures price change by comparing, through time, the cost of a fixed basket of goods and services. </w:t>
      </w:r>
      <w:r w:rsidRPr="000F2762">
        <w:rPr>
          <w:bCs/>
        </w:rPr>
        <w:t>As prices vary over time, the total cost of the basket also changes a</w:t>
      </w:r>
      <w:r w:rsidRPr="000F2762">
        <w:t>nd thus the CPI measures the change in the cost of this basket.  It provides a way to compare what this basket costs at a given period relative to a reference or base period.</w:t>
      </w:r>
    </w:p>
    <w:p w14:paraId="682F3B94" w14:textId="77777777" w:rsidR="00C52048" w:rsidRPr="000F2762" w:rsidRDefault="00C52048" w:rsidP="00C52048">
      <w:pPr>
        <w:pStyle w:val="BodyText"/>
        <w:spacing w:line="276" w:lineRule="auto"/>
      </w:pPr>
    </w:p>
    <w:p w14:paraId="770D84B0" w14:textId="77777777" w:rsidR="00C52048" w:rsidRPr="000F2762" w:rsidRDefault="00C52048" w:rsidP="00C52048">
      <w:pPr>
        <w:pStyle w:val="BodyText"/>
        <w:spacing w:line="276" w:lineRule="auto"/>
        <w:rPr>
          <w:b w:val="0"/>
        </w:rPr>
      </w:pPr>
      <w:r w:rsidRPr="000F2762">
        <w:rPr>
          <w:b w:val="0"/>
        </w:rPr>
        <w:t>The cost of the CPI basket is assigned a value of 100 in the base period and the costs in other periods are expressed as percentage changes compared to the base period.  For example, if the CPI is 110, this means that there has been an increase of 10% in the cost of the basket since the base year; similarly an index of 90 means a 10% decrease in the cost of the basket.</w:t>
      </w:r>
    </w:p>
    <w:p w14:paraId="5CA851AA" w14:textId="77777777" w:rsidR="00C52048" w:rsidRPr="000F2762" w:rsidRDefault="00C52048" w:rsidP="00C52048">
      <w:pPr>
        <w:pStyle w:val="BodyText"/>
        <w:spacing w:line="276" w:lineRule="auto"/>
        <w:ind w:left="360"/>
      </w:pPr>
    </w:p>
    <w:p w14:paraId="4051DF2B" w14:textId="77777777" w:rsidR="00C52048" w:rsidRPr="000F2762" w:rsidRDefault="00C52048" w:rsidP="00C52048">
      <w:pPr>
        <w:spacing w:line="276" w:lineRule="auto"/>
        <w:ind w:left="360" w:hanging="360"/>
        <w:rPr>
          <w:bCs/>
        </w:rPr>
      </w:pPr>
      <w:r w:rsidRPr="000F2762">
        <w:rPr>
          <w:bCs/>
        </w:rPr>
        <w:t xml:space="preserve">(c) </w:t>
      </w:r>
      <w:r w:rsidRPr="000F2762">
        <w:rPr>
          <w:bCs/>
          <w:u w:val="single"/>
        </w:rPr>
        <w:t>The CPI basket</w:t>
      </w:r>
    </w:p>
    <w:p w14:paraId="1FEB4A7E" w14:textId="77777777" w:rsidR="00C52048" w:rsidRPr="000F2762" w:rsidRDefault="00C52048" w:rsidP="00C52048">
      <w:pPr>
        <w:spacing w:line="276" w:lineRule="auto"/>
      </w:pPr>
    </w:p>
    <w:p w14:paraId="20957D65" w14:textId="77777777" w:rsidR="00C52048" w:rsidRPr="000F2762" w:rsidRDefault="00C52048" w:rsidP="00C52048">
      <w:pPr>
        <w:spacing w:line="276" w:lineRule="auto"/>
      </w:pPr>
      <w:r w:rsidRPr="000F2762">
        <w:t>The CPI</w:t>
      </w:r>
      <w:r w:rsidRPr="000F2762">
        <w:rPr>
          <w:color w:val="000000"/>
        </w:rPr>
        <w:t xml:space="preserve"> basket is based on the expenditures of private households in a reference period, cu</w:t>
      </w:r>
      <w:r>
        <w:rPr>
          <w:color w:val="000000"/>
        </w:rPr>
        <w:t>rrently January to December 2017</w:t>
      </w:r>
      <w:r w:rsidRPr="000F2762">
        <w:rPr>
          <w:color w:val="000000"/>
        </w:rPr>
        <w:t xml:space="preserve">.  </w:t>
      </w:r>
      <w:r w:rsidRPr="000F2762">
        <w:t>The composition of the current CPI baske</w:t>
      </w:r>
      <w:r>
        <w:t>t has been derived from the 2017</w:t>
      </w:r>
      <w:r w:rsidRPr="000F2762">
        <w:t xml:space="preserve"> Household Budget Survey (HBS) data.  It has been determined in accordance with latest ILO and SADC recommendations.</w:t>
      </w:r>
    </w:p>
    <w:p w14:paraId="21F85952" w14:textId="77777777" w:rsidR="00C52048" w:rsidRPr="000F2762" w:rsidRDefault="00C52048" w:rsidP="00C52048">
      <w:pPr>
        <w:pStyle w:val="BodyText"/>
        <w:spacing w:line="276" w:lineRule="auto"/>
      </w:pPr>
      <w:r w:rsidRPr="000F2762">
        <w:t xml:space="preserve"> </w:t>
      </w:r>
    </w:p>
    <w:p w14:paraId="4F875928" w14:textId="77777777" w:rsidR="00C52048" w:rsidRPr="000F2762" w:rsidRDefault="00C52048" w:rsidP="00C52048">
      <w:pPr>
        <w:spacing w:line="276" w:lineRule="auto"/>
      </w:pPr>
      <w:r w:rsidRPr="000F2762">
        <w:t>The items constituting the basket have been selected on the basis of the importance of household consumption expenditure on them.  The basket includes all important items on which consumption expenditure is significant, i.e. accounting for around 0.1% or more of total household consumption expenditure.  Each item’s relative importance, which is called the “weight” (usually expressed on a total of 1000), is the expenditure share of the item.  Non-consumption items such as income tax, social security contributions, purchase of land, shares and life insurance are excluded.</w:t>
      </w:r>
    </w:p>
    <w:p w14:paraId="1674407B" w14:textId="77777777" w:rsidR="00C52048" w:rsidRPr="000F2762" w:rsidRDefault="00C52048" w:rsidP="00C52048">
      <w:pPr>
        <w:pStyle w:val="BodyText"/>
        <w:spacing w:line="276" w:lineRule="auto"/>
      </w:pPr>
    </w:p>
    <w:p w14:paraId="04DA6636" w14:textId="77777777" w:rsidR="00C52048" w:rsidRPr="000F2762" w:rsidRDefault="00C52048" w:rsidP="00C52048">
      <w:pPr>
        <w:spacing w:line="276" w:lineRule="auto"/>
      </w:pPr>
      <w:r w:rsidRPr="000F2762">
        <w:t xml:space="preserve">The commodities in the basket are classified according to the UN COICOP (Classification of Consumption Expenditure according to Purpose) with 12 divisions, 42 groups and 80 classes. </w:t>
      </w:r>
    </w:p>
    <w:p w14:paraId="498FC995" w14:textId="77777777" w:rsidR="00C52048" w:rsidRPr="000F2762" w:rsidRDefault="00C52048" w:rsidP="00C52048">
      <w:pPr>
        <w:pStyle w:val="BodyText"/>
        <w:spacing w:line="276" w:lineRule="auto"/>
        <w:ind w:left="360" w:hanging="360"/>
        <w:rPr>
          <w:bCs/>
        </w:rPr>
      </w:pPr>
    </w:p>
    <w:p w14:paraId="2C353A2A" w14:textId="77777777" w:rsidR="00C52048" w:rsidRPr="000F2762" w:rsidRDefault="00C52048" w:rsidP="00C52048">
      <w:pPr>
        <w:pStyle w:val="BodyText"/>
        <w:spacing w:line="276" w:lineRule="auto"/>
        <w:ind w:left="360" w:hanging="360"/>
        <w:rPr>
          <w:bCs/>
          <w:u w:val="single"/>
        </w:rPr>
      </w:pPr>
      <w:r w:rsidRPr="00E970C5">
        <w:rPr>
          <w:b w:val="0"/>
          <w:bCs/>
        </w:rPr>
        <w:t>(d)</w:t>
      </w:r>
      <w:r w:rsidRPr="000F2762">
        <w:rPr>
          <w:bCs/>
        </w:rPr>
        <w:t xml:space="preserve"> </w:t>
      </w:r>
      <w:r w:rsidRPr="00A2507F">
        <w:rPr>
          <w:b w:val="0"/>
          <w:bCs/>
          <w:u w:val="single"/>
        </w:rPr>
        <w:t>Price coverage</w:t>
      </w:r>
    </w:p>
    <w:p w14:paraId="1105195A" w14:textId="77777777" w:rsidR="00C52048" w:rsidRPr="000F2762" w:rsidRDefault="00C52048" w:rsidP="00C52048">
      <w:pPr>
        <w:pStyle w:val="BodyText"/>
        <w:spacing w:line="276" w:lineRule="auto"/>
        <w:ind w:left="360" w:hanging="360"/>
        <w:rPr>
          <w:bCs/>
        </w:rPr>
      </w:pPr>
    </w:p>
    <w:p w14:paraId="0BAA5F1A" w14:textId="77777777" w:rsidR="00C52048" w:rsidRPr="000F2762" w:rsidRDefault="00C52048" w:rsidP="00C52048">
      <w:pPr>
        <w:spacing w:line="276" w:lineRule="auto"/>
      </w:pPr>
      <w:r w:rsidRPr="000F2762">
        <w:t>The prices used in the CPI calculation are those that any member of the public would have to pay to purchase the specified goods or services. Any taxes on products attached to the goods are included.</w:t>
      </w:r>
    </w:p>
    <w:p w14:paraId="220F0DE9" w14:textId="77777777" w:rsidR="00C52048" w:rsidRPr="000F2762" w:rsidRDefault="00C52048" w:rsidP="00C52048">
      <w:pPr>
        <w:pStyle w:val="BodyText"/>
        <w:spacing w:line="276" w:lineRule="auto"/>
        <w:rPr>
          <w:b w:val="0"/>
        </w:rPr>
      </w:pPr>
    </w:p>
    <w:p w14:paraId="36957697" w14:textId="77777777" w:rsidR="00C52048" w:rsidRPr="000F2762" w:rsidRDefault="00C52048" w:rsidP="00C52048">
      <w:pPr>
        <w:spacing w:line="276" w:lineRule="auto"/>
      </w:pPr>
      <w:r w:rsidRPr="000F2762">
        <w:lastRenderedPageBreak/>
        <w:t>Price collection is done on a regul</w:t>
      </w:r>
      <w:r>
        <w:t xml:space="preserve">ar basis.  Each month, around </w:t>
      </w:r>
      <w:r w:rsidRPr="000F2762">
        <w:t>8</w:t>
      </w:r>
      <w:r>
        <w:t>,</w:t>
      </w:r>
      <w:r w:rsidRPr="000F2762">
        <w:t>00</w:t>
      </w:r>
      <w:r>
        <w:t>0</w:t>
      </w:r>
      <w:r w:rsidRPr="000F2762">
        <w:t xml:space="preserve"> price quotations a</w:t>
      </w:r>
      <w:r>
        <w:t>re collected in respect of 1,093 item indicators from some 520</w:t>
      </w:r>
      <w:r w:rsidRPr="000F2762">
        <w:t xml:space="preserve"> outlets selected to be representative of regions across the islands of Mauritius and Rodrigues.</w:t>
      </w:r>
    </w:p>
    <w:p w14:paraId="1EF35B9E" w14:textId="77777777" w:rsidR="00C52048" w:rsidRPr="000F2762" w:rsidRDefault="00C52048" w:rsidP="00C52048">
      <w:pPr>
        <w:spacing w:line="276" w:lineRule="auto"/>
      </w:pPr>
    </w:p>
    <w:p w14:paraId="790E914A" w14:textId="77777777" w:rsidR="00C52048" w:rsidRPr="000F2762" w:rsidRDefault="00C52048" w:rsidP="00C52048">
      <w:pPr>
        <w:pStyle w:val="BodyText"/>
        <w:spacing w:line="276" w:lineRule="auto"/>
        <w:rPr>
          <w:b w:val="0"/>
          <w:iCs/>
        </w:rPr>
      </w:pPr>
      <w:r w:rsidRPr="000F2762">
        <w:rPr>
          <w:b w:val="0"/>
          <w:iCs/>
        </w:rPr>
        <w:t>Prices of non-perishable items are collected monthly in the nine geographical districts of the island of Mauritius and in Rodrigues.</w:t>
      </w:r>
    </w:p>
    <w:p w14:paraId="3EE8BC5E" w14:textId="77777777" w:rsidR="00C52048" w:rsidRPr="000F2762" w:rsidRDefault="00C52048" w:rsidP="00C52048">
      <w:pPr>
        <w:pStyle w:val="BodyText"/>
        <w:spacing w:line="276" w:lineRule="auto"/>
        <w:rPr>
          <w:b w:val="0"/>
          <w:iCs/>
        </w:rPr>
      </w:pPr>
    </w:p>
    <w:p w14:paraId="018F3EFD" w14:textId="77777777" w:rsidR="00C52048" w:rsidRPr="000F2762" w:rsidRDefault="00C52048" w:rsidP="00C52048">
      <w:pPr>
        <w:pStyle w:val="BodyText"/>
        <w:spacing w:line="276" w:lineRule="auto"/>
        <w:rPr>
          <w:b w:val="0"/>
          <w:iCs/>
        </w:rPr>
      </w:pPr>
      <w:r w:rsidRPr="000F2762">
        <w:rPr>
          <w:b w:val="0"/>
          <w:iCs/>
        </w:rPr>
        <w:t xml:space="preserve">Prices of fresh fruits, vegetables, meat and fish are collected on a weekly basis from 9 markets in Port Louis, Rose Hill, Quatre </w:t>
      </w:r>
      <w:proofErr w:type="spellStart"/>
      <w:r w:rsidRPr="000F2762">
        <w:rPr>
          <w:b w:val="0"/>
          <w:iCs/>
        </w:rPr>
        <w:t>Bornes</w:t>
      </w:r>
      <w:proofErr w:type="spellEnd"/>
      <w:r w:rsidRPr="000F2762">
        <w:rPr>
          <w:b w:val="0"/>
          <w:iCs/>
        </w:rPr>
        <w:t xml:space="preserve">, </w:t>
      </w:r>
      <w:proofErr w:type="spellStart"/>
      <w:r w:rsidRPr="000F2762">
        <w:rPr>
          <w:b w:val="0"/>
          <w:iCs/>
        </w:rPr>
        <w:t>Vacoas</w:t>
      </w:r>
      <w:proofErr w:type="spellEnd"/>
      <w:r w:rsidRPr="000F2762">
        <w:rPr>
          <w:b w:val="0"/>
          <w:iCs/>
        </w:rPr>
        <w:t xml:space="preserve">, </w:t>
      </w:r>
      <w:proofErr w:type="spellStart"/>
      <w:r w:rsidRPr="000F2762">
        <w:rPr>
          <w:b w:val="0"/>
          <w:iCs/>
        </w:rPr>
        <w:t>Mahebourg</w:t>
      </w:r>
      <w:proofErr w:type="spellEnd"/>
      <w:r w:rsidRPr="000F2762">
        <w:rPr>
          <w:b w:val="0"/>
          <w:iCs/>
        </w:rPr>
        <w:t xml:space="preserve">, Flacq, </w:t>
      </w:r>
      <w:proofErr w:type="spellStart"/>
      <w:r w:rsidRPr="000F2762">
        <w:rPr>
          <w:b w:val="0"/>
          <w:iCs/>
        </w:rPr>
        <w:t>Goodlands</w:t>
      </w:r>
      <w:proofErr w:type="spellEnd"/>
      <w:r w:rsidRPr="000F2762">
        <w:rPr>
          <w:b w:val="0"/>
          <w:iCs/>
        </w:rPr>
        <w:t>, Pamplemousses and Port Mathurin.</w:t>
      </w:r>
    </w:p>
    <w:p w14:paraId="6F702568" w14:textId="77777777" w:rsidR="00C52048" w:rsidRPr="000F2762" w:rsidRDefault="00C52048" w:rsidP="00C52048">
      <w:pPr>
        <w:pStyle w:val="BodyText"/>
        <w:spacing w:line="276" w:lineRule="auto"/>
        <w:rPr>
          <w:b w:val="0"/>
          <w:iCs/>
        </w:rPr>
      </w:pPr>
    </w:p>
    <w:p w14:paraId="3C57FB26" w14:textId="77777777" w:rsidR="00C52048" w:rsidRPr="000F2762" w:rsidRDefault="00C52048" w:rsidP="00C52048">
      <w:pPr>
        <w:pStyle w:val="BodyText"/>
        <w:spacing w:line="276" w:lineRule="auto"/>
        <w:rPr>
          <w:b w:val="0"/>
          <w:iCs/>
        </w:rPr>
      </w:pPr>
      <w:r w:rsidRPr="000F2762">
        <w:rPr>
          <w:b w:val="0"/>
          <w:iCs/>
        </w:rPr>
        <w:t>Information on rent is obtained from a quarterly rent survey of some 100 rented dwellings.</w:t>
      </w:r>
    </w:p>
    <w:p w14:paraId="164AA345" w14:textId="77777777" w:rsidR="00C52048" w:rsidRPr="000F2762" w:rsidRDefault="00C52048" w:rsidP="00C52048">
      <w:pPr>
        <w:spacing w:line="276" w:lineRule="auto"/>
      </w:pPr>
    </w:p>
    <w:p w14:paraId="486645F6" w14:textId="77777777" w:rsidR="00C52048" w:rsidRPr="000F2762" w:rsidRDefault="00C52048" w:rsidP="00C52048">
      <w:pPr>
        <w:spacing w:line="276" w:lineRule="auto"/>
        <w:rPr>
          <w:bCs/>
          <w:u w:val="single"/>
        </w:rPr>
      </w:pPr>
      <w:r w:rsidRPr="000F2762">
        <w:t xml:space="preserve">(e) </w:t>
      </w:r>
      <w:r w:rsidRPr="000F2762">
        <w:rPr>
          <w:u w:val="single"/>
        </w:rPr>
        <w:t xml:space="preserve">Formula for computation of </w:t>
      </w:r>
      <w:r w:rsidRPr="000F2762">
        <w:rPr>
          <w:bCs/>
          <w:u w:val="single"/>
        </w:rPr>
        <w:t>the CPI</w:t>
      </w:r>
    </w:p>
    <w:p w14:paraId="1696DB8A" w14:textId="77777777" w:rsidR="00C52048" w:rsidRPr="000F2762" w:rsidRDefault="00C52048" w:rsidP="00C52048">
      <w:pPr>
        <w:pStyle w:val="BodyText"/>
        <w:spacing w:line="276" w:lineRule="auto"/>
        <w:rPr>
          <w:bCs/>
        </w:rPr>
      </w:pPr>
    </w:p>
    <w:p w14:paraId="34710990" w14:textId="77777777" w:rsidR="00C52048" w:rsidRPr="000F2762" w:rsidRDefault="00C52048" w:rsidP="00C52048">
      <w:pPr>
        <w:pStyle w:val="BodyText2"/>
        <w:spacing w:line="276" w:lineRule="auto"/>
      </w:pPr>
      <w:r w:rsidRPr="000F2762">
        <w:t xml:space="preserve">The CPI is computed according to the </w:t>
      </w:r>
      <w:proofErr w:type="spellStart"/>
      <w:r w:rsidRPr="000F2762">
        <w:t>Laspeyres</w:t>
      </w:r>
      <w:proofErr w:type="spellEnd"/>
      <w:r w:rsidRPr="000F2762">
        <w:t xml:space="preserve"> Formula as a weighted average of price relatives of individual items.  The weights are fixed and correspond to the base period expenditures. The </w:t>
      </w:r>
      <w:proofErr w:type="spellStart"/>
      <w:r w:rsidRPr="000F2762">
        <w:t>Laspeyres</w:t>
      </w:r>
      <w:proofErr w:type="spellEnd"/>
      <w:r w:rsidRPr="000F2762">
        <w:t xml:space="preserve"> Index measures the cost of a basket of goods and services at different points in time, relative to the cost of the same basket in the base period.</w:t>
      </w:r>
    </w:p>
    <w:p w14:paraId="6F889747" w14:textId="77777777" w:rsidR="00C52048" w:rsidRPr="000F2762" w:rsidRDefault="00C52048" w:rsidP="00C52048">
      <w:pPr>
        <w:pStyle w:val="BodyText2"/>
        <w:spacing w:line="276" w:lineRule="auto"/>
      </w:pPr>
    </w:p>
    <w:p w14:paraId="662060F2" w14:textId="77777777" w:rsidR="00C52048" w:rsidRPr="000F2762" w:rsidRDefault="00C52048" w:rsidP="00C52048">
      <w:pPr>
        <w:spacing w:line="276" w:lineRule="auto"/>
      </w:pPr>
      <w:r w:rsidRPr="000F2762">
        <w:t xml:space="preserve">The formula used for computing the CPI at time </w:t>
      </w:r>
      <w:r w:rsidRPr="000F2762">
        <w:rPr>
          <w:b/>
          <w:i/>
        </w:rPr>
        <w:t xml:space="preserve">t </w:t>
      </w:r>
      <w:r w:rsidRPr="000F2762">
        <w:t xml:space="preserve">is </w:t>
      </w:r>
    </w:p>
    <w:p w14:paraId="03342252" w14:textId="77777777" w:rsidR="00C52048" w:rsidRPr="000F2762" w:rsidRDefault="00C52048" w:rsidP="00C52048">
      <w:pPr>
        <w:spacing w:line="276" w:lineRule="auto"/>
        <w:ind w:left="360"/>
      </w:pPr>
    </w:p>
    <w:p w14:paraId="021567AE" w14:textId="77777777" w:rsidR="00C52048" w:rsidRPr="000F2762" w:rsidRDefault="00C52048" w:rsidP="00C52048">
      <w:pPr>
        <w:spacing w:line="276" w:lineRule="auto"/>
        <w:ind w:left="2016" w:firstLine="144"/>
        <w:rPr>
          <w:b/>
          <w:vertAlign w:val="subscript"/>
        </w:rPr>
      </w:pPr>
      <w:r w:rsidRPr="000F2762">
        <w:rPr>
          <w:b/>
        </w:rPr>
        <w:t xml:space="preserve">        </w:t>
      </w:r>
      <w:r w:rsidRPr="000F2762">
        <w:rPr>
          <w:b/>
        </w:rPr>
        <w:sym w:font="Symbol" w:char="F0E5"/>
      </w:r>
      <w:r w:rsidRPr="000F2762">
        <w:rPr>
          <w:b/>
        </w:rPr>
        <w:t xml:space="preserve"> W</w:t>
      </w:r>
      <w:r w:rsidRPr="000F2762">
        <w:rPr>
          <w:b/>
          <w:vertAlign w:val="subscript"/>
        </w:rPr>
        <w:t>i</w:t>
      </w:r>
      <w:r w:rsidRPr="000F2762">
        <w:rPr>
          <w:b/>
        </w:rPr>
        <w:t xml:space="preserve"> (P</w:t>
      </w:r>
      <w:r w:rsidRPr="000F2762">
        <w:rPr>
          <w:b/>
          <w:vertAlign w:val="subscript"/>
        </w:rPr>
        <w:t>it</w:t>
      </w:r>
      <w:r w:rsidRPr="000F2762">
        <w:rPr>
          <w:b/>
        </w:rPr>
        <w:t xml:space="preserve"> / P</w:t>
      </w:r>
      <w:r w:rsidRPr="000F2762">
        <w:rPr>
          <w:b/>
          <w:vertAlign w:val="subscript"/>
        </w:rPr>
        <w:t>i0</w:t>
      </w:r>
      <w:r w:rsidRPr="000F2762">
        <w:rPr>
          <w:b/>
        </w:rPr>
        <w:t xml:space="preserve"> )</w:t>
      </w:r>
    </w:p>
    <w:p w14:paraId="0A37210F" w14:textId="77777777" w:rsidR="00C52048" w:rsidRPr="000F2762" w:rsidRDefault="00EB68EE" w:rsidP="00C52048">
      <w:pPr>
        <w:spacing w:line="276" w:lineRule="auto"/>
        <w:ind w:left="1296" w:firstLine="720"/>
        <w:rPr>
          <w:b/>
        </w:rPr>
      </w:pPr>
      <w:r>
        <w:rPr>
          <w:b/>
          <w:noProof/>
          <w:lang w:val="en-US"/>
        </w:rPr>
        <mc:AlternateContent>
          <mc:Choice Requires="wps">
            <w:drawing>
              <wp:anchor distT="0" distB="0" distL="114300" distR="114300" simplePos="0" relativeHeight="251658240" behindDoc="0" locked="0" layoutInCell="1" allowOverlap="1" wp14:anchorId="1C7C47A9" wp14:editId="66D5DFBB">
                <wp:simplePos x="0" y="0"/>
                <wp:positionH relativeFrom="column">
                  <wp:posOffset>1651635</wp:posOffset>
                </wp:positionH>
                <wp:positionV relativeFrom="paragraph">
                  <wp:posOffset>116840</wp:posOffset>
                </wp:positionV>
                <wp:extent cx="914400" cy="0"/>
                <wp:effectExtent l="6350" t="7620" r="12700" b="1143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75812" id="Line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9.2pt" to="202.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h4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"/>
            </w:pict>
          </mc:Fallback>
        </mc:AlternateContent>
      </w:r>
      <w:r w:rsidR="00C52048" w:rsidRPr="000F2762">
        <w:rPr>
          <w:b/>
        </w:rPr>
        <w:t xml:space="preserve">I </w:t>
      </w:r>
      <w:r w:rsidR="00C52048" w:rsidRPr="000F2762">
        <w:rPr>
          <w:b/>
          <w:vertAlign w:val="subscript"/>
        </w:rPr>
        <w:t>t</w:t>
      </w:r>
      <w:r w:rsidR="00C52048" w:rsidRPr="000F2762">
        <w:rPr>
          <w:b/>
        </w:rPr>
        <w:t xml:space="preserve"> =                               X 100             </w:t>
      </w:r>
    </w:p>
    <w:p w14:paraId="7FFBF250" w14:textId="77777777" w:rsidR="00C52048" w:rsidRPr="000F2762" w:rsidRDefault="00C52048" w:rsidP="00C52048">
      <w:pPr>
        <w:spacing w:line="276" w:lineRule="auto"/>
        <w:ind w:left="1728" w:firstLine="288"/>
        <w:rPr>
          <w:b/>
          <w:vertAlign w:val="subscript"/>
        </w:rPr>
      </w:pPr>
      <w:r w:rsidRPr="000F2762">
        <w:rPr>
          <w:b/>
        </w:rPr>
        <w:t xml:space="preserve">                </w:t>
      </w:r>
      <w:r w:rsidRPr="000F2762">
        <w:rPr>
          <w:b/>
        </w:rPr>
        <w:sym w:font="Symbol" w:char="F0E5"/>
      </w:r>
      <w:r w:rsidRPr="000F2762">
        <w:rPr>
          <w:b/>
        </w:rPr>
        <w:t xml:space="preserve"> W</w:t>
      </w:r>
      <w:r w:rsidRPr="000F2762">
        <w:rPr>
          <w:b/>
          <w:vertAlign w:val="subscript"/>
        </w:rPr>
        <w:t>i</w:t>
      </w:r>
    </w:p>
    <w:p w14:paraId="7F8BF6A4" w14:textId="77777777" w:rsidR="00C52048" w:rsidRPr="000F2762" w:rsidRDefault="00C52048" w:rsidP="00C52048">
      <w:pPr>
        <w:spacing w:line="276" w:lineRule="auto"/>
        <w:ind w:left="576"/>
        <w:rPr>
          <w:b/>
        </w:rPr>
      </w:pPr>
      <w:r w:rsidRPr="000F2762">
        <w:rPr>
          <w:b/>
        </w:rPr>
        <w:t>where,</w:t>
      </w:r>
    </w:p>
    <w:p w14:paraId="3781EAE3" w14:textId="77777777" w:rsidR="00C52048" w:rsidRPr="000F2762" w:rsidRDefault="00C52048" w:rsidP="00C52048">
      <w:pPr>
        <w:spacing w:line="276" w:lineRule="auto"/>
        <w:ind w:left="576"/>
        <w:rPr>
          <w:b/>
          <w:i/>
        </w:rPr>
      </w:pPr>
      <w:r w:rsidRPr="000F2762">
        <w:rPr>
          <w:b/>
        </w:rPr>
        <w:t xml:space="preserve">I </w:t>
      </w:r>
      <w:r w:rsidRPr="000F2762">
        <w:rPr>
          <w:b/>
          <w:vertAlign w:val="subscript"/>
        </w:rPr>
        <w:t>t</w:t>
      </w:r>
      <w:r w:rsidRPr="000F2762">
        <w:rPr>
          <w:b/>
        </w:rPr>
        <w:t xml:space="preserve"> </w:t>
      </w:r>
      <w:r w:rsidRPr="000F2762">
        <w:rPr>
          <w:b/>
        </w:rPr>
        <w:tab/>
      </w:r>
      <w:r w:rsidRPr="000F2762">
        <w:t xml:space="preserve">   </w:t>
      </w:r>
      <w:r w:rsidRPr="000F2762">
        <w:rPr>
          <w:b/>
        </w:rPr>
        <w:t xml:space="preserve"> </w:t>
      </w:r>
      <w:r w:rsidRPr="000F2762">
        <w:t>:   CPI for period t with reference to a base period 0</w:t>
      </w:r>
      <w:r w:rsidRPr="000F2762">
        <w:br/>
      </w:r>
      <w:r w:rsidRPr="000F2762">
        <w:rPr>
          <w:b/>
        </w:rPr>
        <w:t>P</w:t>
      </w:r>
      <w:r w:rsidRPr="000F2762">
        <w:rPr>
          <w:b/>
          <w:vertAlign w:val="subscript"/>
        </w:rPr>
        <w:t>io</w:t>
      </w:r>
      <w:r w:rsidRPr="000F2762">
        <w:rPr>
          <w:b/>
        </w:rPr>
        <w:t xml:space="preserve">    </w:t>
      </w:r>
      <w:r w:rsidRPr="000F2762">
        <w:t>:</w:t>
      </w:r>
      <w:r w:rsidRPr="000F2762">
        <w:rPr>
          <w:b/>
        </w:rPr>
        <w:t xml:space="preserve">   </w:t>
      </w:r>
      <w:r w:rsidRPr="000F2762">
        <w:t xml:space="preserve">Price of item </w:t>
      </w:r>
      <w:r w:rsidRPr="000F2762">
        <w:rPr>
          <w:i/>
        </w:rPr>
        <w:t>i</w:t>
      </w:r>
      <w:r w:rsidRPr="000F2762">
        <w:t xml:space="preserve"> at time 0, i.e. during base period</w:t>
      </w:r>
      <w:r w:rsidRPr="000F2762">
        <w:br/>
      </w:r>
      <w:r w:rsidRPr="000F2762">
        <w:rPr>
          <w:b/>
        </w:rPr>
        <w:t>P</w:t>
      </w:r>
      <w:r w:rsidRPr="000F2762">
        <w:rPr>
          <w:b/>
          <w:vertAlign w:val="subscript"/>
        </w:rPr>
        <w:t xml:space="preserve">it     </w:t>
      </w:r>
      <w:r>
        <w:rPr>
          <w:b/>
          <w:vertAlign w:val="subscript"/>
        </w:rPr>
        <w:t xml:space="preserve"> </w:t>
      </w:r>
      <w:r w:rsidRPr="0011414D">
        <w:t>:</w:t>
      </w:r>
      <w:r w:rsidRPr="000F2762">
        <w:t xml:space="preserve"> </w:t>
      </w:r>
      <w:r w:rsidRPr="000F2762">
        <w:rPr>
          <w:b/>
          <w:i/>
        </w:rPr>
        <w:t xml:space="preserve"> </w:t>
      </w:r>
      <w:r w:rsidRPr="000F2762">
        <w:t xml:space="preserve">Price of item </w:t>
      </w:r>
      <w:r w:rsidRPr="000F2762">
        <w:rPr>
          <w:i/>
        </w:rPr>
        <w:t>i</w:t>
      </w:r>
      <w:r w:rsidRPr="000F2762">
        <w:t xml:space="preserve"> at time t</w:t>
      </w:r>
      <w:r w:rsidRPr="000F2762">
        <w:br/>
      </w:r>
      <w:r w:rsidRPr="000F2762">
        <w:rPr>
          <w:b/>
        </w:rPr>
        <w:t>W</w:t>
      </w:r>
      <w:r w:rsidRPr="000F2762">
        <w:rPr>
          <w:b/>
          <w:vertAlign w:val="subscript"/>
        </w:rPr>
        <w:t>i</w:t>
      </w:r>
      <w:r w:rsidRPr="000F2762">
        <w:rPr>
          <w:i/>
        </w:rPr>
        <w:t xml:space="preserve">   </w:t>
      </w:r>
      <w:r w:rsidRPr="000F2762">
        <w:rPr>
          <w:b/>
          <w:i/>
        </w:rPr>
        <w:t xml:space="preserve"> </w:t>
      </w:r>
      <w:r w:rsidRPr="0011414D">
        <w:t xml:space="preserve">: </w:t>
      </w:r>
      <w:r w:rsidRPr="000F2762">
        <w:rPr>
          <w:b/>
        </w:rPr>
        <w:t xml:space="preserve"> </w:t>
      </w:r>
      <w:r w:rsidRPr="000F2762">
        <w:t xml:space="preserve">Weight of item </w:t>
      </w:r>
      <w:r w:rsidRPr="000F2762">
        <w:rPr>
          <w:i/>
        </w:rPr>
        <w:t xml:space="preserve">i </w:t>
      </w:r>
      <w:r w:rsidRPr="000F2762">
        <w:br/>
      </w:r>
      <w:r w:rsidRPr="000F2762">
        <w:rPr>
          <w:b/>
          <w:i/>
        </w:rPr>
        <w:t xml:space="preserve"> </w:t>
      </w:r>
    </w:p>
    <w:p w14:paraId="0E1CE34E" w14:textId="77777777" w:rsidR="00C52048" w:rsidRPr="000F2762" w:rsidRDefault="00C52048" w:rsidP="00C52048">
      <w:pPr>
        <w:spacing w:line="276" w:lineRule="auto"/>
      </w:pPr>
      <w:r w:rsidRPr="000F2762">
        <w:t>The base pe</w:t>
      </w:r>
      <w:r>
        <w:t>riod is January to December 2017</w:t>
      </w:r>
      <w:r w:rsidRPr="000F2762">
        <w:t xml:space="preserve">, the period during which the latest HBS was conducted. </w:t>
      </w:r>
    </w:p>
    <w:p w14:paraId="0548DCD7" w14:textId="77777777" w:rsidR="00C52048" w:rsidRPr="000F2762" w:rsidRDefault="00C52048" w:rsidP="00C52048">
      <w:pPr>
        <w:pStyle w:val="BodyText"/>
        <w:spacing w:line="276" w:lineRule="auto"/>
      </w:pPr>
    </w:p>
    <w:p w14:paraId="574CCBBE" w14:textId="77777777" w:rsidR="00C52048" w:rsidRPr="000F2762" w:rsidRDefault="00C52048" w:rsidP="00C52048">
      <w:pPr>
        <w:pStyle w:val="Title"/>
        <w:spacing w:line="276" w:lineRule="auto"/>
        <w:jc w:val="both"/>
        <w:rPr>
          <w:sz w:val="24"/>
        </w:rPr>
      </w:pPr>
      <w:r w:rsidRPr="000F2762">
        <w:rPr>
          <w:sz w:val="24"/>
        </w:rPr>
        <w:t xml:space="preserve">2.  Inflation </w:t>
      </w:r>
    </w:p>
    <w:p w14:paraId="3831153C" w14:textId="77777777" w:rsidR="00C52048" w:rsidRPr="000F2762" w:rsidRDefault="00C52048" w:rsidP="00C52048">
      <w:pPr>
        <w:pStyle w:val="Title"/>
        <w:spacing w:line="276" w:lineRule="auto"/>
        <w:jc w:val="both"/>
        <w:rPr>
          <w:sz w:val="24"/>
        </w:rPr>
      </w:pPr>
    </w:p>
    <w:p w14:paraId="4E087723" w14:textId="77777777" w:rsidR="00C52048" w:rsidRPr="000F2762" w:rsidRDefault="00C52048" w:rsidP="00C52048">
      <w:pPr>
        <w:pStyle w:val="Title"/>
        <w:numPr>
          <w:ilvl w:val="0"/>
          <w:numId w:val="11"/>
        </w:numPr>
        <w:overflowPunct/>
        <w:autoSpaceDE/>
        <w:autoSpaceDN/>
        <w:adjustRightInd/>
        <w:spacing w:line="276" w:lineRule="auto"/>
        <w:ind w:left="0"/>
        <w:jc w:val="both"/>
        <w:textAlignment w:val="auto"/>
        <w:rPr>
          <w:b w:val="0"/>
          <w:sz w:val="24"/>
          <w:u w:val="single"/>
        </w:rPr>
      </w:pPr>
      <w:r w:rsidRPr="000F2762">
        <w:rPr>
          <w:b w:val="0"/>
          <w:sz w:val="24"/>
          <w:u w:val="single"/>
        </w:rPr>
        <w:t xml:space="preserve">Definition of Inflation </w:t>
      </w:r>
    </w:p>
    <w:p w14:paraId="35CF5979" w14:textId="77777777" w:rsidR="00C52048" w:rsidRPr="000F2762" w:rsidRDefault="00C52048" w:rsidP="00C52048">
      <w:pPr>
        <w:pStyle w:val="Title"/>
        <w:spacing w:line="276" w:lineRule="auto"/>
        <w:jc w:val="both"/>
        <w:rPr>
          <w:sz w:val="24"/>
        </w:rPr>
      </w:pPr>
    </w:p>
    <w:p w14:paraId="6EA8560A" w14:textId="77777777" w:rsidR="00C52048" w:rsidRPr="000F2762" w:rsidRDefault="00C52048" w:rsidP="00C52048">
      <w:pPr>
        <w:pStyle w:val="Title"/>
        <w:spacing w:line="276" w:lineRule="auto"/>
        <w:jc w:val="both"/>
        <w:rPr>
          <w:b w:val="0"/>
          <w:bCs/>
          <w:sz w:val="24"/>
        </w:rPr>
      </w:pPr>
      <w:r w:rsidRPr="000F2762">
        <w:rPr>
          <w:b w:val="0"/>
          <w:bCs/>
          <w:sz w:val="24"/>
        </w:rPr>
        <w:t xml:space="preserve">Inflation is the percentage change in the level of prices (as measured by the CPI) from one period to another. </w:t>
      </w:r>
    </w:p>
    <w:p w14:paraId="4AF9AABA" w14:textId="77777777" w:rsidR="00C52048" w:rsidRPr="000F2762" w:rsidRDefault="00C52048" w:rsidP="00C52048">
      <w:pPr>
        <w:pStyle w:val="Title"/>
        <w:spacing w:line="276" w:lineRule="auto"/>
        <w:jc w:val="both"/>
        <w:rPr>
          <w:b w:val="0"/>
          <w:bCs/>
          <w:sz w:val="24"/>
        </w:rPr>
      </w:pPr>
    </w:p>
    <w:p w14:paraId="67178D64" w14:textId="77777777" w:rsidR="00C52048" w:rsidRPr="000F2762" w:rsidRDefault="00C52048" w:rsidP="00C52048">
      <w:pPr>
        <w:pStyle w:val="Title"/>
        <w:numPr>
          <w:ilvl w:val="0"/>
          <w:numId w:val="11"/>
        </w:numPr>
        <w:overflowPunct/>
        <w:autoSpaceDE/>
        <w:autoSpaceDN/>
        <w:adjustRightInd/>
        <w:spacing w:line="276" w:lineRule="auto"/>
        <w:ind w:left="90"/>
        <w:jc w:val="both"/>
        <w:textAlignment w:val="auto"/>
        <w:rPr>
          <w:b w:val="0"/>
          <w:sz w:val="24"/>
          <w:u w:val="single"/>
        </w:rPr>
      </w:pPr>
      <w:r w:rsidRPr="000F2762">
        <w:rPr>
          <w:b w:val="0"/>
          <w:sz w:val="24"/>
          <w:u w:val="single"/>
        </w:rPr>
        <w:t>Calculating the Inflation Rate</w:t>
      </w:r>
    </w:p>
    <w:p w14:paraId="0D981DC8" w14:textId="77777777" w:rsidR="00C52048" w:rsidRPr="000F2762" w:rsidRDefault="00C52048" w:rsidP="00C52048">
      <w:pPr>
        <w:pStyle w:val="Title"/>
        <w:spacing w:line="276" w:lineRule="auto"/>
        <w:jc w:val="both"/>
        <w:rPr>
          <w:sz w:val="24"/>
        </w:rPr>
      </w:pPr>
    </w:p>
    <w:p w14:paraId="1FBB3D14" w14:textId="77777777" w:rsidR="00C52048" w:rsidRPr="000F2762" w:rsidRDefault="00C52048" w:rsidP="00C52048">
      <w:pPr>
        <w:pStyle w:val="Title"/>
        <w:spacing w:line="276" w:lineRule="auto"/>
        <w:jc w:val="both"/>
        <w:rPr>
          <w:bCs/>
          <w:i/>
          <w:sz w:val="24"/>
        </w:rPr>
      </w:pPr>
      <w:r w:rsidRPr="000F2762">
        <w:rPr>
          <w:b w:val="0"/>
          <w:bCs/>
          <w:sz w:val="24"/>
        </w:rPr>
        <w:t xml:space="preserve">The headline inflation rate in Mauritius, like in many other countries, is calculated by using the annual average method, i.e. by comparing the average level of prices during a twelve-month period with the average level during the corresponding previous twelve-month period.  This type of inflation rate is more appropriate for adjusting wages, salaries and pensions to compensate for loss </w:t>
      </w:r>
      <w:r w:rsidRPr="000F2762">
        <w:rPr>
          <w:b w:val="0"/>
          <w:bCs/>
          <w:sz w:val="24"/>
        </w:rPr>
        <w:lastRenderedPageBreak/>
        <w:t xml:space="preserve">of purchasing power.  </w:t>
      </w:r>
      <w:r w:rsidRPr="000F2762">
        <w:rPr>
          <w:bCs/>
          <w:i/>
          <w:sz w:val="24"/>
        </w:rPr>
        <w:t>All inflation rates presented in this publication relate to the headline inflation.</w:t>
      </w:r>
    </w:p>
    <w:p w14:paraId="6D22DD50" w14:textId="77777777" w:rsidR="00C52048" w:rsidRPr="000F2762" w:rsidRDefault="00C52048" w:rsidP="00C52048">
      <w:pPr>
        <w:pStyle w:val="Title"/>
        <w:spacing w:line="276" w:lineRule="auto"/>
        <w:jc w:val="both"/>
        <w:rPr>
          <w:b w:val="0"/>
          <w:bCs/>
          <w:sz w:val="24"/>
        </w:rPr>
      </w:pPr>
    </w:p>
    <w:p w14:paraId="6D9136FA" w14:textId="77777777" w:rsidR="00C52048" w:rsidRPr="000F2762" w:rsidRDefault="00C52048" w:rsidP="00C52048">
      <w:pPr>
        <w:pStyle w:val="Title"/>
        <w:spacing w:line="276" w:lineRule="auto"/>
        <w:jc w:val="both"/>
        <w:rPr>
          <w:b w:val="0"/>
          <w:bCs/>
          <w:sz w:val="24"/>
        </w:rPr>
      </w:pPr>
      <w:r w:rsidRPr="000F2762">
        <w:rPr>
          <w:b w:val="0"/>
          <w:bCs/>
          <w:sz w:val="24"/>
        </w:rPr>
        <w:t>Another commonly used method of calculating the inflation rate is the so called ‘year-on-year’ method.  The year-on-year inflation rate is calculated as the percentage change in the CPI for a given month with respect to the CPI for the corresponding month of the previous year.  It is generally used by central banks for monetary policy decisions.  Year-on-year inflation rates are not presented in this publication but can be easily calculated through the available monthly CPI.</w:t>
      </w:r>
    </w:p>
    <w:p w14:paraId="76F70AD4" w14:textId="77777777" w:rsidR="00C52048" w:rsidRPr="000F2762" w:rsidRDefault="00C52048" w:rsidP="00C52048">
      <w:pPr>
        <w:pStyle w:val="Title"/>
        <w:spacing w:line="276" w:lineRule="auto"/>
        <w:jc w:val="both"/>
        <w:rPr>
          <w:b w:val="0"/>
          <w:bCs/>
          <w:sz w:val="24"/>
        </w:rPr>
      </w:pPr>
    </w:p>
    <w:p w14:paraId="7E676A83" w14:textId="5C6700B5" w:rsidR="00C52048" w:rsidRPr="009A06A8" w:rsidRDefault="00C52048" w:rsidP="00C52048">
      <w:pPr>
        <w:spacing w:line="360" w:lineRule="auto"/>
        <w:rPr>
          <w:bCs/>
        </w:rPr>
      </w:pPr>
      <w:r w:rsidRPr="009A06A8">
        <w:rPr>
          <w:bCs/>
        </w:rPr>
        <w:t>Note:  More information about the concept, computation and use of the CPI is avail</w:t>
      </w:r>
      <w:r>
        <w:rPr>
          <w:bCs/>
        </w:rPr>
        <w:t xml:space="preserve">able online in the publication ‘ </w:t>
      </w:r>
      <w:hyperlink r:id="rId21" w:history="1">
        <w:r w:rsidRPr="003B6951">
          <w:rPr>
            <w:rStyle w:val="Hyperlink"/>
            <w:bCs/>
          </w:rPr>
          <w:t>HBS 2017 Methodological Report and updated CPI</w:t>
        </w:r>
      </w:hyperlink>
      <w:r>
        <w:rPr>
          <w:bCs/>
        </w:rPr>
        <w:t xml:space="preserve"> ’</w:t>
      </w:r>
    </w:p>
    <w:p w14:paraId="606E1B66" w14:textId="77777777" w:rsidR="00DB7EED" w:rsidRPr="00224BAF" w:rsidRDefault="00DB7EED" w:rsidP="00DB7EED">
      <w:pPr>
        <w:pStyle w:val="Title"/>
        <w:spacing w:line="276" w:lineRule="auto"/>
        <w:jc w:val="both"/>
        <w:rPr>
          <w:b w:val="0"/>
          <w:bCs/>
          <w:i/>
          <w:iCs/>
        </w:rPr>
      </w:pPr>
    </w:p>
    <w:p w14:paraId="7B1E02F9" w14:textId="77777777" w:rsidR="00DB7EED" w:rsidRPr="00224BAF" w:rsidRDefault="00DB7EED" w:rsidP="00DB7EED">
      <w:pPr>
        <w:pStyle w:val="Title"/>
        <w:spacing w:line="276" w:lineRule="auto"/>
        <w:jc w:val="both"/>
        <w:rPr>
          <w:b w:val="0"/>
          <w:bCs/>
        </w:rPr>
      </w:pPr>
    </w:p>
    <w:p w14:paraId="77845A12" w14:textId="142C3EFD" w:rsidR="00DD6B30" w:rsidRDefault="00DD6B30" w:rsidP="00D4750A">
      <w:pPr>
        <w:spacing w:line="360" w:lineRule="auto"/>
      </w:pPr>
    </w:p>
    <w:p w14:paraId="00791A79" w14:textId="77777777" w:rsidR="00DD6B30" w:rsidRDefault="00DD6B30" w:rsidP="00D4750A">
      <w:pPr>
        <w:spacing w:line="360" w:lineRule="auto"/>
      </w:pPr>
    </w:p>
    <w:sectPr w:rsidR="00DD6B30" w:rsidSect="000272E8">
      <w:headerReference w:type="first" r:id="rId22"/>
      <w:pgSz w:w="11909" w:h="16834" w:code="9"/>
      <w:pgMar w:top="720" w:right="1080" w:bottom="709" w:left="1354" w:header="720" w:footer="432" w:gutter="0"/>
      <w:pgNumType w:start="13"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F6AB" w14:textId="77777777" w:rsidR="003275A8" w:rsidRDefault="003275A8">
      <w:r>
        <w:separator/>
      </w:r>
    </w:p>
  </w:endnote>
  <w:endnote w:type="continuationSeparator" w:id="0">
    <w:p w14:paraId="1E57625B" w14:textId="77777777" w:rsidR="003275A8" w:rsidRDefault="0032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8A6E6" w14:textId="77777777" w:rsidR="003275A8" w:rsidRDefault="003275A8">
      <w:r>
        <w:separator/>
      </w:r>
    </w:p>
  </w:footnote>
  <w:footnote w:type="continuationSeparator" w:id="0">
    <w:p w14:paraId="216D5B3F" w14:textId="77777777" w:rsidR="003275A8" w:rsidRDefault="00327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4AB7" w14:textId="77777777" w:rsidR="000E0E3A" w:rsidRDefault="0025770D">
    <w:pPr>
      <w:pStyle w:val="Header"/>
      <w:framePr w:wrap="around" w:vAnchor="text" w:hAnchor="margin" w:xAlign="center" w:y="1"/>
      <w:rPr>
        <w:rStyle w:val="PageNumber"/>
      </w:rPr>
    </w:pPr>
    <w:r>
      <w:rPr>
        <w:rStyle w:val="PageNumber"/>
      </w:rPr>
      <w:fldChar w:fldCharType="begin"/>
    </w:r>
    <w:r w:rsidR="000E0E3A">
      <w:rPr>
        <w:rStyle w:val="PageNumber"/>
      </w:rPr>
      <w:instrText xml:space="preserve">PAGE  </w:instrText>
    </w:r>
    <w:r>
      <w:rPr>
        <w:rStyle w:val="PageNumber"/>
      </w:rPr>
      <w:fldChar w:fldCharType="separate"/>
    </w:r>
    <w:r w:rsidR="000F2762">
      <w:rPr>
        <w:rStyle w:val="PageNumber"/>
        <w:noProof/>
      </w:rPr>
      <w:t>4</w:t>
    </w:r>
    <w:r>
      <w:rPr>
        <w:rStyle w:val="PageNumber"/>
      </w:rPr>
      <w:fldChar w:fldCharType="end"/>
    </w:r>
  </w:p>
  <w:p w14:paraId="60B135CE" w14:textId="77777777" w:rsidR="000E0E3A" w:rsidRDefault="000E0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3393" w14:textId="77777777" w:rsidR="000E0E3A" w:rsidRDefault="0025770D">
    <w:pPr>
      <w:pStyle w:val="Header"/>
      <w:framePr w:wrap="around" w:vAnchor="text" w:hAnchor="margin" w:xAlign="center" w:y="1"/>
      <w:rPr>
        <w:rStyle w:val="PageNumber"/>
      </w:rPr>
    </w:pPr>
    <w:r>
      <w:rPr>
        <w:rStyle w:val="PageNumber"/>
      </w:rPr>
      <w:fldChar w:fldCharType="begin"/>
    </w:r>
    <w:r w:rsidR="000E0E3A">
      <w:rPr>
        <w:rStyle w:val="PageNumber"/>
      </w:rPr>
      <w:instrText xml:space="preserve">PAGE  </w:instrText>
    </w:r>
    <w:r>
      <w:rPr>
        <w:rStyle w:val="PageNumber"/>
      </w:rPr>
      <w:fldChar w:fldCharType="separate"/>
    </w:r>
    <w:r w:rsidR="00C61CBF">
      <w:rPr>
        <w:rStyle w:val="PageNumber"/>
        <w:noProof/>
      </w:rPr>
      <w:t>2</w:t>
    </w:r>
    <w:r>
      <w:rPr>
        <w:rStyle w:val="PageNumber"/>
      </w:rPr>
      <w:fldChar w:fldCharType="end"/>
    </w:r>
  </w:p>
  <w:p w14:paraId="066179B4" w14:textId="77777777" w:rsidR="000E0E3A" w:rsidRDefault="000E0E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8C15" w14:textId="77777777" w:rsidR="000F2762" w:rsidRDefault="000F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
      </v:shape>
    </w:pict>
  </w:numPicBullet>
  <w:abstractNum w:abstractNumId="0" w15:restartNumberingAfterBreak="0">
    <w:nsid w:val="01793845"/>
    <w:multiLevelType w:val="hybridMultilevel"/>
    <w:tmpl w:val="25D2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7072A"/>
    <w:multiLevelType w:val="multilevel"/>
    <w:tmpl w:val="3320A1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6934B1"/>
    <w:multiLevelType w:val="multilevel"/>
    <w:tmpl w:val="D02827E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lowerLetter"/>
      <w:lvlText w:val="(%4)"/>
      <w:lvlJc w:val="left"/>
      <w:pPr>
        <w:tabs>
          <w:tab w:val="num" w:pos="2880"/>
        </w:tabs>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32080"/>
    <w:multiLevelType w:val="hybridMultilevel"/>
    <w:tmpl w:val="8138C8B8"/>
    <w:lvl w:ilvl="0" w:tplc="CDFAAB76">
      <w:start w:val="1"/>
      <w:numFmt w:val="bullet"/>
      <w:lvlText w:val=""/>
      <w:lvlJc w:val="left"/>
      <w:pPr>
        <w:ind w:left="2160" w:hanging="360"/>
      </w:pPr>
      <w:rPr>
        <w:rFonts w:ascii="Wingdings" w:hAnsi="Wingdings" w:hint="default"/>
        <w:sz w:val="28"/>
        <w:szCs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5215910"/>
    <w:multiLevelType w:val="hybridMultilevel"/>
    <w:tmpl w:val="96D04DC8"/>
    <w:lvl w:ilvl="0" w:tplc="322640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DC1A65"/>
    <w:multiLevelType w:val="hybridMultilevel"/>
    <w:tmpl w:val="4A80800E"/>
    <w:lvl w:ilvl="0" w:tplc="F8603E42">
      <w:start w:val="1"/>
      <w:numFmt w:val="decimal"/>
      <w:lvlText w:val="%1."/>
      <w:lvlJc w:val="left"/>
      <w:pPr>
        <w:ind w:left="36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471366AC"/>
    <w:multiLevelType w:val="hybridMultilevel"/>
    <w:tmpl w:val="A2ECBBC2"/>
    <w:lvl w:ilvl="0" w:tplc="6E4CE9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8A752A"/>
    <w:multiLevelType w:val="hybridMultilevel"/>
    <w:tmpl w:val="3320A1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4260A"/>
    <w:multiLevelType w:val="hybridMultilevel"/>
    <w:tmpl w:val="B838CFF6"/>
    <w:lvl w:ilvl="0" w:tplc="05F25B8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15:restartNumberingAfterBreak="0">
    <w:nsid w:val="5D4F5A35"/>
    <w:multiLevelType w:val="hybridMultilevel"/>
    <w:tmpl w:val="2B90BEB0"/>
    <w:lvl w:ilvl="0" w:tplc="59707C8A">
      <w:start w:val="1"/>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F2D5F13"/>
    <w:multiLevelType w:val="hybridMultilevel"/>
    <w:tmpl w:val="30A6D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F112E4"/>
    <w:multiLevelType w:val="hybridMultilevel"/>
    <w:tmpl w:val="D02827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78223FA0">
      <w:start w:val="1"/>
      <w:numFmt w:val="lowerLetter"/>
      <w:lvlText w:val="(%4)"/>
      <w:lvlJc w:val="left"/>
      <w:pPr>
        <w:tabs>
          <w:tab w:val="num" w:pos="2160"/>
        </w:tabs>
        <w:ind w:left="216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0"/>
  </w:num>
  <w:num w:numId="5">
    <w:abstractNumId w:val="3"/>
  </w:num>
  <w:num w:numId="6">
    <w:abstractNumId w:val="10"/>
  </w:num>
  <w:num w:numId="7">
    <w:abstractNumId w:val="7"/>
  </w:num>
  <w:num w:numId="8">
    <w:abstractNumId w:val="1"/>
  </w:num>
  <w:num w:numId="9">
    <w:abstractNumId w:val="11"/>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E22"/>
    <w:rsid w:val="000015D5"/>
    <w:rsid w:val="00001BE5"/>
    <w:rsid w:val="00007893"/>
    <w:rsid w:val="000125BC"/>
    <w:rsid w:val="00012802"/>
    <w:rsid w:val="00012E44"/>
    <w:rsid w:val="000134BF"/>
    <w:rsid w:val="00013613"/>
    <w:rsid w:val="000154A7"/>
    <w:rsid w:val="000177F5"/>
    <w:rsid w:val="00022B9F"/>
    <w:rsid w:val="000261C6"/>
    <w:rsid w:val="000272E8"/>
    <w:rsid w:val="0003009D"/>
    <w:rsid w:val="00031774"/>
    <w:rsid w:val="00036AA8"/>
    <w:rsid w:val="00036EE1"/>
    <w:rsid w:val="00037DCA"/>
    <w:rsid w:val="0004139B"/>
    <w:rsid w:val="000445FD"/>
    <w:rsid w:val="00045F14"/>
    <w:rsid w:val="000520D6"/>
    <w:rsid w:val="000520E2"/>
    <w:rsid w:val="00054AA7"/>
    <w:rsid w:val="00054E87"/>
    <w:rsid w:val="00057C75"/>
    <w:rsid w:val="00061650"/>
    <w:rsid w:val="00062425"/>
    <w:rsid w:val="00067A62"/>
    <w:rsid w:val="0007037A"/>
    <w:rsid w:val="00070933"/>
    <w:rsid w:val="00073EA5"/>
    <w:rsid w:val="000772DC"/>
    <w:rsid w:val="00077FDC"/>
    <w:rsid w:val="000807D5"/>
    <w:rsid w:val="00080C39"/>
    <w:rsid w:val="00083E74"/>
    <w:rsid w:val="00084076"/>
    <w:rsid w:val="000858F5"/>
    <w:rsid w:val="00087E01"/>
    <w:rsid w:val="00087FAB"/>
    <w:rsid w:val="00091799"/>
    <w:rsid w:val="00092A3A"/>
    <w:rsid w:val="00093047"/>
    <w:rsid w:val="000931CD"/>
    <w:rsid w:val="0009475E"/>
    <w:rsid w:val="000A2856"/>
    <w:rsid w:val="000A75D4"/>
    <w:rsid w:val="000B3F5B"/>
    <w:rsid w:val="000B5171"/>
    <w:rsid w:val="000C15BA"/>
    <w:rsid w:val="000C16C9"/>
    <w:rsid w:val="000C4481"/>
    <w:rsid w:val="000C626E"/>
    <w:rsid w:val="000C7049"/>
    <w:rsid w:val="000D0705"/>
    <w:rsid w:val="000D3D04"/>
    <w:rsid w:val="000D415C"/>
    <w:rsid w:val="000E0E3A"/>
    <w:rsid w:val="000E4ACB"/>
    <w:rsid w:val="000F1059"/>
    <w:rsid w:val="000F1DDA"/>
    <w:rsid w:val="000F2762"/>
    <w:rsid w:val="000F5212"/>
    <w:rsid w:val="000F54A9"/>
    <w:rsid w:val="0010146B"/>
    <w:rsid w:val="0010342F"/>
    <w:rsid w:val="001064E9"/>
    <w:rsid w:val="00107086"/>
    <w:rsid w:val="00107440"/>
    <w:rsid w:val="001114FE"/>
    <w:rsid w:val="00111B61"/>
    <w:rsid w:val="0011322E"/>
    <w:rsid w:val="001148DA"/>
    <w:rsid w:val="001152D6"/>
    <w:rsid w:val="00116803"/>
    <w:rsid w:val="00120804"/>
    <w:rsid w:val="00120815"/>
    <w:rsid w:val="00123099"/>
    <w:rsid w:val="00125E95"/>
    <w:rsid w:val="00126FB1"/>
    <w:rsid w:val="001279AF"/>
    <w:rsid w:val="00130FFA"/>
    <w:rsid w:val="0013146E"/>
    <w:rsid w:val="00133C22"/>
    <w:rsid w:val="0013498B"/>
    <w:rsid w:val="00134B4D"/>
    <w:rsid w:val="001355EE"/>
    <w:rsid w:val="00135984"/>
    <w:rsid w:val="00135CA3"/>
    <w:rsid w:val="00141595"/>
    <w:rsid w:val="00143B3E"/>
    <w:rsid w:val="00145F40"/>
    <w:rsid w:val="001479A2"/>
    <w:rsid w:val="00147DD9"/>
    <w:rsid w:val="00147EA0"/>
    <w:rsid w:val="001511A2"/>
    <w:rsid w:val="001545DF"/>
    <w:rsid w:val="00154B7C"/>
    <w:rsid w:val="00154C52"/>
    <w:rsid w:val="00160187"/>
    <w:rsid w:val="00160BE3"/>
    <w:rsid w:val="0016178D"/>
    <w:rsid w:val="00162465"/>
    <w:rsid w:val="00163BB3"/>
    <w:rsid w:val="00164D8F"/>
    <w:rsid w:val="00165465"/>
    <w:rsid w:val="00166EB5"/>
    <w:rsid w:val="00172F6F"/>
    <w:rsid w:val="001758FD"/>
    <w:rsid w:val="00176702"/>
    <w:rsid w:val="00176C49"/>
    <w:rsid w:val="001824A0"/>
    <w:rsid w:val="00183599"/>
    <w:rsid w:val="00183EC9"/>
    <w:rsid w:val="0019222A"/>
    <w:rsid w:val="00194871"/>
    <w:rsid w:val="00195B25"/>
    <w:rsid w:val="00196FFD"/>
    <w:rsid w:val="001973F5"/>
    <w:rsid w:val="001A2174"/>
    <w:rsid w:val="001A2A5C"/>
    <w:rsid w:val="001A309B"/>
    <w:rsid w:val="001A446D"/>
    <w:rsid w:val="001A5BCB"/>
    <w:rsid w:val="001A734F"/>
    <w:rsid w:val="001B03F6"/>
    <w:rsid w:val="001B0DF6"/>
    <w:rsid w:val="001B10FA"/>
    <w:rsid w:val="001B1BDB"/>
    <w:rsid w:val="001B6555"/>
    <w:rsid w:val="001C148D"/>
    <w:rsid w:val="001C1B1A"/>
    <w:rsid w:val="001C2385"/>
    <w:rsid w:val="001C4095"/>
    <w:rsid w:val="001D18F4"/>
    <w:rsid w:val="001D6109"/>
    <w:rsid w:val="001D6537"/>
    <w:rsid w:val="001E3F0F"/>
    <w:rsid w:val="001E50B1"/>
    <w:rsid w:val="001F26EC"/>
    <w:rsid w:val="001F3CC4"/>
    <w:rsid w:val="001F4D5B"/>
    <w:rsid w:val="001F77CC"/>
    <w:rsid w:val="002015E1"/>
    <w:rsid w:val="002024C1"/>
    <w:rsid w:val="0020304C"/>
    <w:rsid w:val="002030DF"/>
    <w:rsid w:val="00205657"/>
    <w:rsid w:val="002107DA"/>
    <w:rsid w:val="00210F21"/>
    <w:rsid w:val="00211A47"/>
    <w:rsid w:val="00212700"/>
    <w:rsid w:val="00212C4F"/>
    <w:rsid w:val="00212FC1"/>
    <w:rsid w:val="00213D42"/>
    <w:rsid w:val="00213DC7"/>
    <w:rsid w:val="00221959"/>
    <w:rsid w:val="0022504D"/>
    <w:rsid w:val="00226547"/>
    <w:rsid w:val="00227B5C"/>
    <w:rsid w:val="002412DB"/>
    <w:rsid w:val="00243E40"/>
    <w:rsid w:val="00244310"/>
    <w:rsid w:val="00245729"/>
    <w:rsid w:val="002477F9"/>
    <w:rsid w:val="00251484"/>
    <w:rsid w:val="00254BDC"/>
    <w:rsid w:val="0025770D"/>
    <w:rsid w:val="00261293"/>
    <w:rsid w:val="00267754"/>
    <w:rsid w:val="00267CC1"/>
    <w:rsid w:val="00273813"/>
    <w:rsid w:val="00276745"/>
    <w:rsid w:val="002824A8"/>
    <w:rsid w:val="00284F82"/>
    <w:rsid w:val="002875E4"/>
    <w:rsid w:val="00290C4D"/>
    <w:rsid w:val="0029203C"/>
    <w:rsid w:val="00293543"/>
    <w:rsid w:val="0029394E"/>
    <w:rsid w:val="002969BD"/>
    <w:rsid w:val="00297110"/>
    <w:rsid w:val="002A10A0"/>
    <w:rsid w:val="002A1211"/>
    <w:rsid w:val="002A2F7A"/>
    <w:rsid w:val="002A3BC9"/>
    <w:rsid w:val="002A440A"/>
    <w:rsid w:val="002B1257"/>
    <w:rsid w:val="002B27E6"/>
    <w:rsid w:val="002B3E06"/>
    <w:rsid w:val="002B57BB"/>
    <w:rsid w:val="002B6755"/>
    <w:rsid w:val="002B797F"/>
    <w:rsid w:val="002C0B81"/>
    <w:rsid w:val="002C37B5"/>
    <w:rsid w:val="002C4071"/>
    <w:rsid w:val="002C6F73"/>
    <w:rsid w:val="002C7908"/>
    <w:rsid w:val="002D5799"/>
    <w:rsid w:val="002D67FE"/>
    <w:rsid w:val="002E062E"/>
    <w:rsid w:val="002E20BD"/>
    <w:rsid w:val="002E3EE4"/>
    <w:rsid w:val="002E4EFB"/>
    <w:rsid w:val="002E52A4"/>
    <w:rsid w:val="002E5AD5"/>
    <w:rsid w:val="002E76FA"/>
    <w:rsid w:val="002E77CB"/>
    <w:rsid w:val="002F33EF"/>
    <w:rsid w:val="002F43AD"/>
    <w:rsid w:val="00301D77"/>
    <w:rsid w:val="00302527"/>
    <w:rsid w:val="0030358D"/>
    <w:rsid w:val="00306655"/>
    <w:rsid w:val="003066D7"/>
    <w:rsid w:val="003071F3"/>
    <w:rsid w:val="0031299A"/>
    <w:rsid w:val="0031707F"/>
    <w:rsid w:val="00321AB8"/>
    <w:rsid w:val="00325B9F"/>
    <w:rsid w:val="003275A8"/>
    <w:rsid w:val="00327706"/>
    <w:rsid w:val="0033057F"/>
    <w:rsid w:val="00332729"/>
    <w:rsid w:val="00332C3F"/>
    <w:rsid w:val="00333C3F"/>
    <w:rsid w:val="00335ED7"/>
    <w:rsid w:val="00336DC0"/>
    <w:rsid w:val="00342199"/>
    <w:rsid w:val="00342D1F"/>
    <w:rsid w:val="00342F9E"/>
    <w:rsid w:val="00344D8D"/>
    <w:rsid w:val="00345616"/>
    <w:rsid w:val="0034589A"/>
    <w:rsid w:val="00346271"/>
    <w:rsid w:val="00346501"/>
    <w:rsid w:val="003477E8"/>
    <w:rsid w:val="003527E4"/>
    <w:rsid w:val="00354161"/>
    <w:rsid w:val="00354546"/>
    <w:rsid w:val="003578F6"/>
    <w:rsid w:val="00361F3C"/>
    <w:rsid w:val="00365ACE"/>
    <w:rsid w:val="00367578"/>
    <w:rsid w:val="0037044F"/>
    <w:rsid w:val="00370D49"/>
    <w:rsid w:val="0037131A"/>
    <w:rsid w:val="00373B20"/>
    <w:rsid w:val="0037507F"/>
    <w:rsid w:val="00377A66"/>
    <w:rsid w:val="00377B29"/>
    <w:rsid w:val="00381B22"/>
    <w:rsid w:val="00381EC8"/>
    <w:rsid w:val="00382584"/>
    <w:rsid w:val="0038410B"/>
    <w:rsid w:val="003846ED"/>
    <w:rsid w:val="00384C30"/>
    <w:rsid w:val="00384E65"/>
    <w:rsid w:val="00385025"/>
    <w:rsid w:val="00385B37"/>
    <w:rsid w:val="00386386"/>
    <w:rsid w:val="00391F6C"/>
    <w:rsid w:val="003A0212"/>
    <w:rsid w:val="003A12BD"/>
    <w:rsid w:val="003A29F2"/>
    <w:rsid w:val="003A6823"/>
    <w:rsid w:val="003A6C6A"/>
    <w:rsid w:val="003A7231"/>
    <w:rsid w:val="003A78EC"/>
    <w:rsid w:val="003B61D1"/>
    <w:rsid w:val="003B6AC6"/>
    <w:rsid w:val="003B6B8C"/>
    <w:rsid w:val="003C1496"/>
    <w:rsid w:val="003C1F30"/>
    <w:rsid w:val="003C2B71"/>
    <w:rsid w:val="003C4EF5"/>
    <w:rsid w:val="003C6507"/>
    <w:rsid w:val="003D3442"/>
    <w:rsid w:val="003D377F"/>
    <w:rsid w:val="003D4073"/>
    <w:rsid w:val="003D5319"/>
    <w:rsid w:val="003D7E85"/>
    <w:rsid w:val="003E123B"/>
    <w:rsid w:val="003E2863"/>
    <w:rsid w:val="003E5940"/>
    <w:rsid w:val="003E6768"/>
    <w:rsid w:val="003F0536"/>
    <w:rsid w:val="003F3295"/>
    <w:rsid w:val="003F6EB6"/>
    <w:rsid w:val="003F7E37"/>
    <w:rsid w:val="0040105E"/>
    <w:rsid w:val="00402EE6"/>
    <w:rsid w:val="00403631"/>
    <w:rsid w:val="00404676"/>
    <w:rsid w:val="00404F49"/>
    <w:rsid w:val="004050BE"/>
    <w:rsid w:val="004069D5"/>
    <w:rsid w:val="0041678F"/>
    <w:rsid w:val="0041685D"/>
    <w:rsid w:val="004178E3"/>
    <w:rsid w:val="00422829"/>
    <w:rsid w:val="004263C3"/>
    <w:rsid w:val="00434133"/>
    <w:rsid w:val="004350A8"/>
    <w:rsid w:val="00435341"/>
    <w:rsid w:val="004413B6"/>
    <w:rsid w:val="00443165"/>
    <w:rsid w:val="00452602"/>
    <w:rsid w:val="004552F4"/>
    <w:rsid w:val="00455C82"/>
    <w:rsid w:val="004572EB"/>
    <w:rsid w:val="004579EB"/>
    <w:rsid w:val="0046047D"/>
    <w:rsid w:val="0046302D"/>
    <w:rsid w:val="0046339E"/>
    <w:rsid w:val="00464D83"/>
    <w:rsid w:val="0047102A"/>
    <w:rsid w:val="00472BE1"/>
    <w:rsid w:val="004739E6"/>
    <w:rsid w:val="004824BF"/>
    <w:rsid w:val="00486B51"/>
    <w:rsid w:val="00494483"/>
    <w:rsid w:val="0049453E"/>
    <w:rsid w:val="004A5544"/>
    <w:rsid w:val="004A5ABF"/>
    <w:rsid w:val="004A6381"/>
    <w:rsid w:val="004B04E7"/>
    <w:rsid w:val="004B1B69"/>
    <w:rsid w:val="004B4BD1"/>
    <w:rsid w:val="004B5DD8"/>
    <w:rsid w:val="004B5E01"/>
    <w:rsid w:val="004B6925"/>
    <w:rsid w:val="004B752C"/>
    <w:rsid w:val="004C162A"/>
    <w:rsid w:val="004C5085"/>
    <w:rsid w:val="004C60AC"/>
    <w:rsid w:val="004D18A3"/>
    <w:rsid w:val="004D43E8"/>
    <w:rsid w:val="004D57A3"/>
    <w:rsid w:val="004D6578"/>
    <w:rsid w:val="004E1304"/>
    <w:rsid w:val="004E3CDB"/>
    <w:rsid w:val="004F05A1"/>
    <w:rsid w:val="004F0F60"/>
    <w:rsid w:val="004F2992"/>
    <w:rsid w:val="004F4140"/>
    <w:rsid w:val="004F4CB4"/>
    <w:rsid w:val="004F5843"/>
    <w:rsid w:val="00501513"/>
    <w:rsid w:val="0050155C"/>
    <w:rsid w:val="00505501"/>
    <w:rsid w:val="0050710F"/>
    <w:rsid w:val="00507D68"/>
    <w:rsid w:val="00510BC9"/>
    <w:rsid w:val="00510E04"/>
    <w:rsid w:val="00512A9C"/>
    <w:rsid w:val="00520362"/>
    <w:rsid w:val="00520E71"/>
    <w:rsid w:val="00522C72"/>
    <w:rsid w:val="00522D9D"/>
    <w:rsid w:val="00522E54"/>
    <w:rsid w:val="00523B76"/>
    <w:rsid w:val="00525EB3"/>
    <w:rsid w:val="0052604B"/>
    <w:rsid w:val="0052777D"/>
    <w:rsid w:val="00537D7D"/>
    <w:rsid w:val="00541290"/>
    <w:rsid w:val="00542D4B"/>
    <w:rsid w:val="00543AB4"/>
    <w:rsid w:val="00550B6E"/>
    <w:rsid w:val="00551834"/>
    <w:rsid w:val="00552F1E"/>
    <w:rsid w:val="00554A40"/>
    <w:rsid w:val="00554AE0"/>
    <w:rsid w:val="00556004"/>
    <w:rsid w:val="005602E3"/>
    <w:rsid w:val="00560C45"/>
    <w:rsid w:val="005642C7"/>
    <w:rsid w:val="00564877"/>
    <w:rsid w:val="0056550B"/>
    <w:rsid w:val="00571264"/>
    <w:rsid w:val="0057144F"/>
    <w:rsid w:val="00571984"/>
    <w:rsid w:val="0057232F"/>
    <w:rsid w:val="00572944"/>
    <w:rsid w:val="005751B4"/>
    <w:rsid w:val="00575669"/>
    <w:rsid w:val="005765A4"/>
    <w:rsid w:val="00584E57"/>
    <w:rsid w:val="005921C0"/>
    <w:rsid w:val="00593AAA"/>
    <w:rsid w:val="00594659"/>
    <w:rsid w:val="00595722"/>
    <w:rsid w:val="00595EBD"/>
    <w:rsid w:val="00597B48"/>
    <w:rsid w:val="005A11AA"/>
    <w:rsid w:val="005A4BF7"/>
    <w:rsid w:val="005A501C"/>
    <w:rsid w:val="005A76BE"/>
    <w:rsid w:val="005A77E2"/>
    <w:rsid w:val="005B126C"/>
    <w:rsid w:val="005B46BB"/>
    <w:rsid w:val="005B4CED"/>
    <w:rsid w:val="005B5E94"/>
    <w:rsid w:val="005B61FA"/>
    <w:rsid w:val="005B7A49"/>
    <w:rsid w:val="005C0853"/>
    <w:rsid w:val="005C436E"/>
    <w:rsid w:val="005C6135"/>
    <w:rsid w:val="005C703B"/>
    <w:rsid w:val="005D289F"/>
    <w:rsid w:val="005D2F94"/>
    <w:rsid w:val="005D5D5C"/>
    <w:rsid w:val="005D6FE8"/>
    <w:rsid w:val="005D7A2B"/>
    <w:rsid w:val="005E146D"/>
    <w:rsid w:val="005E500A"/>
    <w:rsid w:val="005E6DB6"/>
    <w:rsid w:val="005E7A14"/>
    <w:rsid w:val="005F00D6"/>
    <w:rsid w:val="005F0C76"/>
    <w:rsid w:val="005F0D23"/>
    <w:rsid w:val="005F3B0D"/>
    <w:rsid w:val="005F4667"/>
    <w:rsid w:val="005F5E12"/>
    <w:rsid w:val="00605240"/>
    <w:rsid w:val="00607134"/>
    <w:rsid w:val="006076A5"/>
    <w:rsid w:val="00610896"/>
    <w:rsid w:val="00612231"/>
    <w:rsid w:val="00613B97"/>
    <w:rsid w:val="00613C29"/>
    <w:rsid w:val="0061455A"/>
    <w:rsid w:val="00616AD7"/>
    <w:rsid w:val="00620129"/>
    <w:rsid w:val="0062035A"/>
    <w:rsid w:val="006230A4"/>
    <w:rsid w:val="00625AAF"/>
    <w:rsid w:val="0062663A"/>
    <w:rsid w:val="00626E6E"/>
    <w:rsid w:val="00634B03"/>
    <w:rsid w:val="0064104D"/>
    <w:rsid w:val="00645A7B"/>
    <w:rsid w:val="0065781D"/>
    <w:rsid w:val="00657EA3"/>
    <w:rsid w:val="00657F2A"/>
    <w:rsid w:val="00663C6E"/>
    <w:rsid w:val="0067068A"/>
    <w:rsid w:val="0068043E"/>
    <w:rsid w:val="006816C1"/>
    <w:rsid w:val="00682640"/>
    <w:rsid w:val="0068319E"/>
    <w:rsid w:val="0068424E"/>
    <w:rsid w:val="0068501C"/>
    <w:rsid w:val="00685474"/>
    <w:rsid w:val="00691929"/>
    <w:rsid w:val="00691FCA"/>
    <w:rsid w:val="00692166"/>
    <w:rsid w:val="00692611"/>
    <w:rsid w:val="006933A3"/>
    <w:rsid w:val="0069466C"/>
    <w:rsid w:val="006962FE"/>
    <w:rsid w:val="006A0B74"/>
    <w:rsid w:val="006A210F"/>
    <w:rsid w:val="006A6C53"/>
    <w:rsid w:val="006A72B8"/>
    <w:rsid w:val="006B0886"/>
    <w:rsid w:val="006B2979"/>
    <w:rsid w:val="006B32A9"/>
    <w:rsid w:val="006B454C"/>
    <w:rsid w:val="006B472F"/>
    <w:rsid w:val="006B5D82"/>
    <w:rsid w:val="006B7A70"/>
    <w:rsid w:val="006C3C54"/>
    <w:rsid w:val="006C6B12"/>
    <w:rsid w:val="006C7B5C"/>
    <w:rsid w:val="006D0433"/>
    <w:rsid w:val="006D29A2"/>
    <w:rsid w:val="006D2DA1"/>
    <w:rsid w:val="006D3534"/>
    <w:rsid w:val="006D4C62"/>
    <w:rsid w:val="006D5150"/>
    <w:rsid w:val="006D5AB0"/>
    <w:rsid w:val="006D7977"/>
    <w:rsid w:val="006E05A2"/>
    <w:rsid w:val="006E20B3"/>
    <w:rsid w:val="006E2B1D"/>
    <w:rsid w:val="006E425B"/>
    <w:rsid w:val="006F65DB"/>
    <w:rsid w:val="006F6ABC"/>
    <w:rsid w:val="006F7940"/>
    <w:rsid w:val="00700E6F"/>
    <w:rsid w:val="00706E50"/>
    <w:rsid w:val="0070722A"/>
    <w:rsid w:val="007072AC"/>
    <w:rsid w:val="00707A7F"/>
    <w:rsid w:val="00710122"/>
    <w:rsid w:val="007115D5"/>
    <w:rsid w:val="0071449F"/>
    <w:rsid w:val="0071562F"/>
    <w:rsid w:val="0071682F"/>
    <w:rsid w:val="00721B3D"/>
    <w:rsid w:val="007243C9"/>
    <w:rsid w:val="00724554"/>
    <w:rsid w:val="007261C8"/>
    <w:rsid w:val="00726406"/>
    <w:rsid w:val="007331CF"/>
    <w:rsid w:val="007367C8"/>
    <w:rsid w:val="00736BE7"/>
    <w:rsid w:val="0074210F"/>
    <w:rsid w:val="00744126"/>
    <w:rsid w:val="00744450"/>
    <w:rsid w:val="0074664E"/>
    <w:rsid w:val="007468BC"/>
    <w:rsid w:val="00750985"/>
    <w:rsid w:val="00751AB1"/>
    <w:rsid w:val="00753224"/>
    <w:rsid w:val="007532B5"/>
    <w:rsid w:val="00753D8B"/>
    <w:rsid w:val="00756D65"/>
    <w:rsid w:val="00762F87"/>
    <w:rsid w:val="007636F1"/>
    <w:rsid w:val="0076511D"/>
    <w:rsid w:val="00774EF7"/>
    <w:rsid w:val="00776962"/>
    <w:rsid w:val="00776FAE"/>
    <w:rsid w:val="00780D12"/>
    <w:rsid w:val="0078219D"/>
    <w:rsid w:val="00782E70"/>
    <w:rsid w:val="0078466C"/>
    <w:rsid w:val="00784E69"/>
    <w:rsid w:val="00785379"/>
    <w:rsid w:val="007853F2"/>
    <w:rsid w:val="00786447"/>
    <w:rsid w:val="0078652A"/>
    <w:rsid w:val="007867EA"/>
    <w:rsid w:val="00791C27"/>
    <w:rsid w:val="00792242"/>
    <w:rsid w:val="00792E3F"/>
    <w:rsid w:val="00795583"/>
    <w:rsid w:val="007A30AE"/>
    <w:rsid w:val="007A5EA8"/>
    <w:rsid w:val="007A6918"/>
    <w:rsid w:val="007A6997"/>
    <w:rsid w:val="007B2438"/>
    <w:rsid w:val="007B3C94"/>
    <w:rsid w:val="007B4755"/>
    <w:rsid w:val="007B4C9C"/>
    <w:rsid w:val="007B5069"/>
    <w:rsid w:val="007B7657"/>
    <w:rsid w:val="007B7C8B"/>
    <w:rsid w:val="007C17A5"/>
    <w:rsid w:val="007C17F1"/>
    <w:rsid w:val="007C2DCA"/>
    <w:rsid w:val="007D10E9"/>
    <w:rsid w:val="007D25AF"/>
    <w:rsid w:val="007D2F31"/>
    <w:rsid w:val="007D6CD9"/>
    <w:rsid w:val="007E2604"/>
    <w:rsid w:val="007E28A2"/>
    <w:rsid w:val="007E2930"/>
    <w:rsid w:val="007E4859"/>
    <w:rsid w:val="007E5789"/>
    <w:rsid w:val="007F185F"/>
    <w:rsid w:val="007F4358"/>
    <w:rsid w:val="007F57E3"/>
    <w:rsid w:val="00800774"/>
    <w:rsid w:val="00803A9D"/>
    <w:rsid w:val="0080401E"/>
    <w:rsid w:val="00804B48"/>
    <w:rsid w:val="00805384"/>
    <w:rsid w:val="00805614"/>
    <w:rsid w:val="00812CC8"/>
    <w:rsid w:val="0081752C"/>
    <w:rsid w:val="00830C39"/>
    <w:rsid w:val="008336AA"/>
    <w:rsid w:val="0083545E"/>
    <w:rsid w:val="008419F5"/>
    <w:rsid w:val="00841D96"/>
    <w:rsid w:val="00842694"/>
    <w:rsid w:val="008436BE"/>
    <w:rsid w:val="00844C7F"/>
    <w:rsid w:val="00844E8E"/>
    <w:rsid w:val="00845156"/>
    <w:rsid w:val="008464BD"/>
    <w:rsid w:val="00846EC9"/>
    <w:rsid w:val="008474CC"/>
    <w:rsid w:val="008504B9"/>
    <w:rsid w:val="00850B97"/>
    <w:rsid w:val="00862CDD"/>
    <w:rsid w:val="00864911"/>
    <w:rsid w:val="0086723C"/>
    <w:rsid w:val="0086737B"/>
    <w:rsid w:val="008701B4"/>
    <w:rsid w:val="008720ED"/>
    <w:rsid w:val="008769C2"/>
    <w:rsid w:val="00877CB7"/>
    <w:rsid w:val="00880C35"/>
    <w:rsid w:val="008835F9"/>
    <w:rsid w:val="0088373D"/>
    <w:rsid w:val="00884695"/>
    <w:rsid w:val="00893DBF"/>
    <w:rsid w:val="00894098"/>
    <w:rsid w:val="0089469E"/>
    <w:rsid w:val="008946FE"/>
    <w:rsid w:val="0089525B"/>
    <w:rsid w:val="00896832"/>
    <w:rsid w:val="008A1286"/>
    <w:rsid w:val="008A12C7"/>
    <w:rsid w:val="008A2523"/>
    <w:rsid w:val="008A2F30"/>
    <w:rsid w:val="008A32B6"/>
    <w:rsid w:val="008B079B"/>
    <w:rsid w:val="008B14DD"/>
    <w:rsid w:val="008B5464"/>
    <w:rsid w:val="008B597F"/>
    <w:rsid w:val="008B7423"/>
    <w:rsid w:val="008C4CA8"/>
    <w:rsid w:val="008D012C"/>
    <w:rsid w:val="008D051C"/>
    <w:rsid w:val="008D2184"/>
    <w:rsid w:val="008D26E9"/>
    <w:rsid w:val="008D41A4"/>
    <w:rsid w:val="008D423C"/>
    <w:rsid w:val="008E2404"/>
    <w:rsid w:val="008E4FD4"/>
    <w:rsid w:val="008E5EE1"/>
    <w:rsid w:val="008E5FF5"/>
    <w:rsid w:val="008E62B0"/>
    <w:rsid w:val="008F1842"/>
    <w:rsid w:val="00904175"/>
    <w:rsid w:val="0090463E"/>
    <w:rsid w:val="00905CBD"/>
    <w:rsid w:val="00907095"/>
    <w:rsid w:val="00911C46"/>
    <w:rsid w:val="00916ED4"/>
    <w:rsid w:val="009201EF"/>
    <w:rsid w:val="00920F43"/>
    <w:rsid w:val="00925BFC"/>
    <w:rsid w:val="00926478"/>
    <w:rsid w:val="00931D56"/>
    <w:rsid w:val="00933FB8"/>
    <w:rsid w:val="0093571B"/>
    <w:rsid w:val="009368F7"/>
    <w:rsid w:val="00936A07"/>
    <w:rsid w:val="00941B29"/>
    <w:rsid w:val="00941D55"/>
    <w:rsid w:val="00945F45"/>
    <w:rsid w:val="00946397"/>
    <w:rsid w:val="0095055A"/>
    <w:rsid w:val="00950D38"/>
    <w:rsid w:val="00955B6F"/>
    <w:rsid w:val="00956B1E"/>
    <w:rsid w:val="00960CE6"/>
    <w:rsid w:val="009669F6"/>
    <w:rsid w:val="00966D3D"/>
    <w:rsid w:val="009675DD"/>
    <w:rsid w:val="009705C5"/>
    <w:rsid w:val="00971DD2"/>
    <w:rsid w:val="0097475C"/>
    <w:rsid w:val="00975F23"/>
    <w:rsid w:val="00976EE8"/>
    <w:rsid w:val="009815E4"/>
    <w:rsid w:val="00981D11"/>
    <w:rsid w:val="009910B5"/>
    <w:rsid w:val="0099327A"/>
    <w:rsid w:val="00995E41"/>
    <w:rsid w:val="00996761"/>
    <w:rsid w:val="00997148"/>
    <w:rsid w:val="009A0FC3"/>
    <w:rsid w:val="009A1A79"/>
    <w:rsid w:val="009A2917"/>
    <w:rsid w:val="009A6E88"/>
    <w:rsid w:val="009A71A6"/>
    <w:rsid w:val="009A7A76"/>
    <w:rsid w:val="009A7C11"/>
    <w:rsid w:val="009B3C1F"/>
    <w:rsid w:val="009B43D6"/>
    <w:rsid w:val="009C076C"/>
    <w:rsid w:val="009C08E3"/>
    <w:rsid w:val="009C0E42"/>
    <w:rsid w:val="009C2078"/>
    <w:rsid w:val="009C4ECC"/>
    <w:rsid w:val="009C5EFF"/>
    <w:rsid w:val="009C5FC3"/>
    <w:rsid w:val="009C689D"/>
    <w:rsid w:val="009C7891"/>
    <w:rsid w:val="009D1A20"/>
    <w:rsid w:val="009D1B14"/>
    <w:rsid w:val="009D2CF0"/>
    <w:rsid w:val="009D2F52"/>
    <w:rsid w:val="009D5E4B"/>
    <w:rsid w:val="009E059A"/>
    <w:rsid w:val="009F0BB6"/>
    <w:rsid w:val="009F3A64"/>
    <w:rsid w:val="009F4098"/>
    <w:rsid w:val="009F44D6"/>
    <w:rsid w:val="009F46A3"/>
    <w:rsid w:val="009F4C96"/>
    <w:rsid w:val="00A02EC7"/>
    <w:rsid w:val="00A03232"/>
    <w:rsid w:val="00A06045"/>
    <w:rsid w:val="00A12B46"/>
    <w:rsid w:val="00A12D16"/>
    <w:rsid w:val="00A14640"/>
    <w:rsid w:val="00A149E6"/>
    <w:rsid w:val="00A14D7F"/>
    <w:rsid w:val="00A17FAF"/>
    <w:rsid w:val="00A2038F"/>
    <w:rsid w:val="00A207CD"/>
    <w:rsid w:val="00A20CD2"/>
    <w:rsid w:val="00A2507F"/>
    <w:rsid w:val="00A27449"/>
    <w:rsid w:val="00A31ACF"/>
    <w:rsid w:val="00A32B5A"/>
    <w:rsid w:val="00A34DA1"/>
    <w:rsid w:val="00A3628C"/>
    <w:rsid w:val="00A37235"/>
    <w:rsid w:val="00A478F6"/>
    <w:rsid w:val="00A47999"/>
    <w:rsid w:val="00A50FFE"/>
    <w:rsid w:val="00A5369B"/>
    <w:rsid w:val="00A54235"/>
    <w:rsid w:val="00A562D1"/>
    <w:rsid w:val="00A60A0B"/>
    <w:rsid w:val="00A61F0D"/>
    <w:rsid w:val="00A6230A"/>
    <w:rsid w:val="00A64B9B"/>
    <w:rsid w:val="00A65F58"/>
    <w:rsid w:val="00A710CE"/>
    <w:rsid w:val="00A73765"/>
    <w:rsid w:val="00A743AA"/>
    <w:rsid w:val="00A7635D"/>
    <w:rsid w:val="00A829C2"/>
    <w:rsid w:val="00A83B07"/>
    <w:rsid w:val="00A85845"/>
    <w:rsid w:val="00A8621B"/>
    <w:rsid w:val="00A864B5"/>
    <w:rsid w:val="00A864DF"/>
    <w:rsid w:val="00A86E5E"/>
    <w:rsid w:val="00A9195E"/>
    <w:rsid w:val="00A93D61"/>
    <w:rsid w:val="00A94849"/>
    <w:rsid w:val="00A952FC"/>
    <w:rsid w:val="00A962AD"/>
    <w:rsid w:val="00A97E11"/>
    <w:rsid w:val="00AA076C"/>
    <w:rsid w:val="00AA09A3"/>
    <w:rsid w:val="00AA1412"/>
    <w:rsid w:val="00AA28A4"/>
    <w:rsid w:val="00AA430E"/>
    <w:rsid w:val="00AA5AFC"/>
    <w:rsid w:val="00AB1647"/>
    <w:rsid w:val="00AB4AF4"/>
    <w:rsid w:val="00AB67F0"/>
    <w:rsid w:val="00AC1AA6"/>
    <w:rsid w:val="00AC42A6"/>
    <w:rsid w:val="00AD0D22"/>
    <w:rsid w:val="00AD1135"/>
    <w:rsid w:val="00AD164F"/>
    <w:rsid w:val="00AD58DC"/>
    <w:rsid w:val="00AD636E"/>
    <w:rsid w:val="00AD6ADB"/>
    <w:rsid w:val="00AE1B2B"/>
    <w:rsid w:val="00AE5667"/>
    <w:rsid w:val="00AE6B3D"/>
    <w:rsid w:val="00AE71D3"/>
    <w:rsid w:val="00AF3962"/>
    <w:rsid w:val="00AF4D07"/>
    <w:rsid w:val="00AF626D"/>
    <w:rsid w:val="00AF72F0"/>
    <w:rsid w:val="00B01668"/>
    <w:rsid w:val="00B0180C"/>
    <w:rsid w:val="00B01992"/>
    <w:rsid w:val="00B019B0"/>
    <w:rsid w:val="00B07423"/>
    <w:rsid w:val="00B07AFD"/>
    <w:rsid w:val="00B10756"/>
    <w:rsid w:val="00B11A39"/>
    <w:rsid w:val="00B1202D"/>
    <w:rsid w:val="00B1388F"/>
    <w:rsid w:val="00B16C6D"/>
    <w:rsid w:val="00B27D59"/>
    <w:rsid w:val="00B326F3"/>
    <w:rsid w:val="00B4205D"/>
    <w:rsid w:val="00B421FE"/>
    <w:rsid w:val="00B42CAD"/>
    <w:rsid w:val="00B43668"/>
    <w:rsid w:val="00B44096"/>
    <w:rsid w:val="00B45C22"/>
    <w:rsid w:val="00B50622"/>
    <w:rsid w:val="00B50E45"/>
    <w:rsid w:val="00B547BF"/>
    <w:rsid w:val="00B54CFA"/>
    <w:rsid w:val="00B5571E"/>
    <w:rsid w:val="00B57DA0"/>
    <w:rsid w:val="00B630BA"/>
    <w:rsid w:val="00B65940"/>
    <w:rsid w:val="00B7064E"/>
    <w:rsid w:val="00B71F24"/>
    <w:rsid w:val="00B72146"/>
    <w:rsid w:val="00B72AE5"/>
    <w:rsid w:val="00B744CD"/>
    <w:rsid w:val="00B74886"/>
    <w:rsid w:val="00B76B2F"/>
    <w:rsid w:val="00B77152"/>
    <w:rsid w:val="00B826AA"/>
    <w:rsid w:val="00B830FE"/>
    <w:rsid w:val="00B845E3"/>
    <w:rsid w:val="00B84656"/>
    <w:rsid w:val="00B84945"/>
    <w:rsid w:val="00B86FC5"/>
    <w:rsid w:val="00B917EE"/>
    <w:rsid w:val="00B93A71"/>
    <w:rsid w:val="00B951A5"/>
    <w:rsid w:val="00B9672F"/>
    <w:rsid w:val="00B96D83"/>
    <w:rsid w:val="00B973BA"/>
    <w:rsid w:val="00BA06A5"/>
    <w:rsid w:val="00BA40AA"/>
    <w:rsid w:val="00BA481F"/>
    <w:rsid w:val="00BA6E34"/>
    <w:rsid w:val="00BB1D30"/>
    <w:rsid w:val="00BB1E3E"/>
    <w:rsid w:val="00BB21AF"/>
    <w:rsid w:val="00BB520A"/>
    <w:rsid w:val="00BC17BA"/>
    <w:rsid w:val="00BC17F3"/>
    <w:rsid w:val="00BC2D0F"/>
    <w:rsid w:val="00BC624D"/>
    <w:rsid w:val="00BC69F3"/>
    <w:rsid w:val="00BC6D85"/>
    <w:rsid w:val="00BD0C20"/>
    <w:rsid w:val="00BD4F6D"/>
    <w:rsid w:val="00BD5AE3"/>
    <w:rsid w:val="00BD6694"/>
    <w:rsid w:val="00BD6FC1"/>
    <w:rsid w:val="00BE2F3E"/>
    <w:rsid w:val="00BE39F1"/>
    <w:rsid w:val="00BE446C"/>
    <w:rsid w:val="00BF0657"/>
    <w:rsid w:val="00BF1353"/>
    <w:rsid w:val="00BF1D15"/>
    <w:rsid w:val="00BF1FE8"/>
    <w:rsid w:val="00BF40AA"/>
    <w:rsid w:val="00BF516D"/>
    <w:rsid w:val="00BF5AF7"/>
    <w:rsid w:val="00BF6543"/>
    <w:rsid w:val="00BF6647"/>
    <w:rsid w:val="00BF7623"/>
    <w:rsid w:val="00BF7EC7"/>
    <w:rsid w:val="00C00867"/>
    <w:rsid w:val="00C01C68"/>
    <w:rsid w:val="00C01D02"/>
    <w:rsid w:val="00C022DE"/>
    <w:rsid w:val="00C03217"/>
    <w:rsid w:val="00C033A9"/>
    <w:rsid w:val="00C0431F"/>
    <w:rsid w:val="00C047FD"/>
    <w:rsid w:val="00C12051"/>
    <w:rsid w:val="00C12250"/>
    <w:rsid w:val="00C13561"/>
    <w:rsid w:val="00C14474"/>
    <w:rsid w:val="00C144BE"/>
    <w:rsid w:val="00C15096"/>
    <w:rsid w:val="00C15523"/>
    <w:rsid w:val="00C15F58"/>
    <w:rsid w:val="00C1630F"/>
    <w:rsid w:val="00C1688C"/>
    <w:rsid w:val="00C21FDC"/>
    <w:rsid w:val="00C231B5"/>
    <w:rsid w:val="00C26573"/>
    <w:rsid w:val="00C31043"/>
    <w:rsid w:val="00C3252A"/>
    <w:rsid w:val="00C32666"/>
    <w:rsid w:val="00C33433"/>
    <w:rsid w:val="00C33B3B"/>
    <w:rsid w:val="00C34456"/>
    <w:rsid w:val="00C414C5"/>
    <w:rsid w:val="00C42B95"/>
    <w:rsid w:val="00C439D4"/>
    <w:rsid w:val="00C45FA7"/>
    <w:rsid w:val="00C47A24"/>
    <w:rsid w:val="00C52048"/>
    <w:rsid w:val="00C55B72"/>
    <w:rsid w:val="00C55BCE"/>
    <w:rsid w:val="00C55BEB"/>
    <w:rsid w:val="00C61061"/>
    <w:rsid w:val="00C61A5E"/>
    <w:rsid w:val="00C61C04"/>
    <w:rsid w:val="00C61CBF"/>
    <w:rsid w:val="00C63E5F"/>
    <w:rsid w:val="00C64D1F"/>
    <w:rsid w:val="00C669AA"/>
    <w:rsid w:val="00C73458"/>
    <w:rsid w:val="00C739B8"/>
    <w:rsid w:val="00C760B3"/>
    <w:rsid w:val="00C80A4F"/>
    <w:rsid w:val="00C83370"/>
    <w:rsid w:val="00C906C6"/>
    <w:rsid w:val="00C90D77"/>
    <w:rsid w:val="00C91442"/>
    <w:rsid w:val="00C9162D"/>
    <w:rsid w:val="00C94D3F"/>
    <w:rsid w:val="00C9768C"/>
    <w:rsid w:val="00CA59E8"/>
    <w:rsid w:val="00CA6157"/>
    <w:rsid w:val="00CA6BBE"/>
    <w:rsid w:val="00CA741C"/>
    <w:rsid w:val="00CA7EB0"/>
    <w:rsid w:val="00CB1842"/>
    <w:rsid w:val="00CB3915"/>
    <w:rsid w:val="00CB4388"/>
    <w:rsid w:val="00CB5CC6"/>
    <w:rsid w:val="00CB708F"/>
    <w:rsid w:val="00CB7B48"/>
    <w:rsid w:val="00CC0A3D"/>
    <w:rsid w:val="00CC13E6"/>
    <w:rsid w:val="00CC2D3C"/>
    <w:rsid w:val="00CC3CBB"/>
    <w:rsid w:val="00CC493B"/>
    <w:rsid w:val="00CC6C91"/>
    <w:rsid w:val="00CC760E"/>
    <w:rsid w:val="00CD07BF"/>
    <w:rsid w:val="00CD1348"/>
    <w:rsid w:val="00CE165F"/>
    <w:rsid w:val="00CE3C85"/>
    <w:rsid w:val="00CE3CBA"/>
    <w:rsid w:val="00CE3E59"/>
    <w:rsid w:val="00CE4ABC"/>
    <w:rsid w:val="00CF2B68"/>
    <w:rsid w:val="00CF5DCE"/>
    <w:rsid w:val="00CF762D"/>
    <w:rsid w:val="00D00699"/>
    <w:rsid w:val="00D01F81"/>
    <w:rsid w:val="00D02B7C"/>
    <w:rsid w:val="00D03CAE"/>
    <w:rsid w:val="00D04B6F"/>
    <w:rsid w:val="00D04D6E"/>
    <w:rsid w:val="00D05C22"/>
    <w:rsid w:val="00D05D77"/>
    <w:rsid w:val="00D06816"/>
    <w:rsid w:val="00D10759"/>
    <w:rsid w:val="00D11E39"/>
    <w:rsid w:val="00D13C94"/>
    <w:rsid w:val="00D2107F"/>
    <w:rsid w:val="00D211C0"/>
    <w:rsid w:val="00D2150E"/>
    <w:rsid w:val="00D215E2"/>
    <w:rsid w:val="00D26141"/>
    <w:rsid w:val="00D30C0D"/>
    <w:rsid w:val="00D30E79"/>
    <w:rsid w:val="00D31F25"/>
    <w:rsid w:val="00D34F27"/>
    <w:rsid w:val="00D4257C"/>
    <w:rsid w:val="00D43992"/>
    <w:rsid w:val="00D450E9"/>
    <w:rsid w:val="00D45493"/>
    <w:rsid w:val="00D45B0D"/>
    <w:rsid w:val="00D468BF"/>
    <w:rsid w:val="00D4750A"/>
    <w:rsid w:val="00D50B1D"/>
    <w:rsid w:val="00D53773"/>
    <w:rsid w:val="00D60343"/>
    <w:rsid w:val="00D61C97"/>
    <w:rsid w:val="00D6333B"/>
    <w:rsid w:val="00D66D9F"/>
    <w:rsid w:val="00D71347"/>
    <w:rsid w:val="00D74E5D"/>
    <w:rsid w:val="00D75556"/>
    <w:rsid w:val="00D76D10"/>
    <w:rsid w:val="00D77D50"/>
    <w:rsid w:val="00D80EF5"/>
    <w:rsid w:val="00D81394"/>
    <w:rsid w:val="00D81740"/>
    <w:rsid w:val="00D82ADD"/>
    <w:rsid w:val="00D8559C"/>
    <w:rsid w:val="00D85F8E"/>
    <w:rsid w:val="00D86773"/>
    <w:rsid w:val="00D86BC6"/>
    <w:rsid w:val="00D87B23"/>
    <w:rsid w:val="00D9761E"/>
    <w:rsid w:val="00DA186D"/>
    <w:rsid w:val="00DA3B85"/>
    <w:rsid w:val="00DB0355"/>
    <w:rsid w:val="00DB1833"/>
    <w:rsid w:val="00DB290C"/>
    <w:rsid w:val="00DB3B5D"/>
    <w:rsid w:val="00DB3D12"/>
    <w:rsid w:val="00DB42CF"/>
    <w:rsid w:val="00DB5D9E"/>
    <w:rsid w:val="00DB7939"/>
    <w:rsid w:val="00DB7A28"/>
    <w:rsid w:val="00DB7EED"/>
    <w:rsid w:val="00DC0019"/>
    <w:rsid w:val="00DC0D6F"/>
    <w:rsid w:val="00DC2508"/>
    <w:rsid w:val="00DC6AD9"/>
    <w:rsid w:val="00DC6E46"/>
    <w:rsid w:val="00DC708C"/>
    <w:rsid w:val="00DD0999"/>
    <w:rsid w:val="00DD2F12"/>
    <w:rsid w:val="00DD4ADE"/>
    <w:rsid w:val="00DD4C86"/>
    <w:rsid w:val="00DD4E9C"/>
    <w:rsid w:val="00DD67DD"/>
    <w:rsid w:val="00DD6B30"/>
    <w:rsid w:val="00DE026D"/>
    <w:rsid w:val="00DE081B"/>
    <w:rsid w:val="00DE2054"/>
    <w:rsid w:val="00DE2C2F"/>
    <w:rsid w:val="00DE4E71"/>
    <w:rsid w:val="00DE5C6F"/>
    <w:rsid w:val="00DE6BBF"/>
    <w:rsid w:val="00DE6DAF"/>
    <w:rsid w:val="00DE7C04"/>
    <w:rsid w:val="00DE7E34"/>
    <w:rsid w:val="00DF1C3F"/>
    <w:rsid w:val="00DF3101"/>
    <w:rsid w:val="00DF4208"/>
    <w:rsid w:val="00DF62F2"/>
    <w:rsid w:val="00DF69C1"/>
    <w:rsid w:val="00DF7298"/>
    <w:rsid w:val="00DF74FA"/>
    <w:rsid w:val="00E0076F"/>
    <w:rsid w:val="00E01075"/>
    <w:rsid w:val="00E01099"/>
    <w:rsid w:val="00E01625"/>
    <w:rsid w:val="00E023A3"/>
    <w:rsid w:val="00E02550"/>
    <w:rsid w:val="00E0455F"/>
    <w:rsid w:val="00E0715C"/>
    <w:rsid w:val="00E073AD"/>
    <w:rsid w:val="00E156E2"/>
    <w:rsid w:val="00E16AD1"/>
    <w:rsid w:val="00E16D5A"/>
    <w:rsid w:val="00E17A8C"/>
    <w:rsid w:val="00E22AB1"/>
    <w:rsid w:val="00E305CE"/>
    <w:rsid w:val="00E3077F"/>
    <w:rsid w:val="00E32E86"/>
    <w:rsid w:val="00E32F06"/>
    <w:rsid w:val="00E3595C"/>
    <w:rsid w:val="00E374E2"/>
    <w:rsid w:val="00E406C5"/>
    <w:rsid w:val="00E4363B"/>
    <w:rsid w:val="00E451F7"/>
    <w:rsid w:val="00E45B3C"/>
    <w:rsid w:val="00E46868"/>
    <w:rsid w:val="00E4718A"/>
    <w:rsid w:val="00E50E22"/>
    <w:rsid w:val="00E53E49"/>
    <w:rsid w:val="00E542C3"/>
    <w:rsid w:val="00E5438D"/>
    <w:rsid w:val="00E56E1C"/>
    <w:rsid w:val="00E60ACA"/>
    <w:rsid w:val="00E61023"/>
    <w:rsid w:val="00E6198F"/>
    <w:rsid w:val="00E639C9"/>
    <w:rsid w:val="00E6439C"/>
    <w:rsid w:val="00E65705"/>
    <w:rsid w:val="00E66CFC"/>
    <w:rsid w:val="00E67913"/>
    <w:rsid w:val="00E7031E"/>
    <w:rsid w:val="00E70670"/>
    <w:rsid w:val="00E735BF"/>
    <w:rsid w:val="00E758AF"/>
    <w:rsid w:val="00E76A7F"/>
    <w:rsid w:val="00E77838"/>
    <w:rsid w:val="00E809D8"/>
    <w:rsid w:val="00E825BA"/>
    <w:rsid w:val="00E85564"/>
    <w:rsid w:val="00E85CE7"/>
    <w:rsid w:val="00E87912"/>
    <w:rsid w:val="00E9061B"/>
    <w:rsid w:val="00E90940"/>
    <w:rsid w:val="00E92DD7"/>
    <w:rsid w:val="00E9351C"/>
    <w:rsid w:val="00E93704"/>
    <w:rsid w:val="00E94949"/>
    <w:rsid w:val="00E961DF"/>
    <w:rsid w:val="00E96D5F"/>
    <w:rsid w:val="00E970C5"/>
    <w:rsid w:val="00EA1308"/>
    <w:rsid w:val="00EA28EE"/>
    <w:rsid w:val="00EA2A68"/>
    <w:rsid w:val="00EA3E75"/>
    <w:rsid w:val="00EA69FB"/>
    <w:rsid w:val="00EB0796"/>
    <w:rsid w:val="00EB239C"/>
    <w:rsid w:val="00EB3F51"/>
    <w:rsid w:val="00EB68EE"/>
    <w:rsid w:val="00EC3B7F"/>
    <w:rsid w:val="00EC3FA9"/>
    <w:rsid w:val="00EC5033"/>
    <w:rsid w:val="00ED1A06"/>
    <w:rsid w:val="00ED2C7C"/>
    <w:rsid w:val="00ED3F26"/>
    <w:rsid w:val="00ED5D5B"/>
    <w:rsid w:val="00ED604A"/>
    <w:rsid w:val="00EE0610"/>
    <w:rsid w:val="00EE13F6"/>
    <w:rsid w:val="00EE3714"/>
    <w:rsid w:val="00EE3B4D"/>
    <w:rsid w:val="00EE4F2C"/>
    <w:rsid w:val="00EE663F"/>
    <w:rsid w:val="00EE71C5"/>
    <w:rsid w:val="00EE7694"/>
    <w:rsid w:val="00EF2410"/>
    <w:rsid w:val="00EF4416"/>
    <w:rsid w:val="00EF592C"/>
    <w:rsid w:val="00EF66A5"/>
    <w:rsid w:val="00F001AB"/>
    <w:rsid w:val="00F0070E"/>
    <w:rsid w:val="00F026C2"/>
    <w:rsid w:val="00F02C41"/>
    <w:rsid w:val="00F04C6A"/>
    <w:rsid w:val="00F07F0B"/>
    <w:rsid w:val="00F12095"/>
    <w:rsid w:val="00F145F2"/>
    <w:rsid w:val="00F1634A"/>
    <w:rsid w:val="00F17ADD"/>
    <w:rsid w:val="00F209C5"/>
    <w:rsid w:val="00F23685"/>
    <w:rsid w:val="00F27BAE"/>
    <w:rsid w:val="00F342AF"/>
    <w:rsid w:val="00F375FB"/>
    <w:rsid w:val="00F37795"/>
    <w:rsid w:val="00F37815"/>
    <w:rsid w:val="00F455C1"/>
    <w:rsid w:val="00F45B73"/>
    <w:rsid w:val="00F502BE"/>
    <w:rsid w:val="00F504A1"/>
    <w:rsid w:val="00F51D31"/>
    <w:rsid w:val="00F52BF1"/>
    <w:rsid w:val="00F53FFF"/>
    <w:rsid w:val="00F54552"/>
    <w:rsid w:val="00F553DF"/>
    <w:rsid w:val="00F5658D"/>
    <w:rsid w:val="00F56BD5"/>
    <w:rsid w:val="00F56CDC"/>
    <w:rsid w:val="00F56FBD"/>
    <w:rsid w:val="00F6013A"/>
    <w:rsid w:val="00F668DE"/>
    <w:rsid w:val="00F71428"/>
    <w:rsid w:val="00F725C5"/>
    <w:rsid w:val="00F73D66"/>
    <w:rsid w:val="00F752B4"/>
    <w:rsid w:val="00F77AF6"/>
    <w:rsid w:val="00F8069F"/>
    <w:rsid w:val="00F81044"/>
    <w:rsid w:val="00F812DB"/>
    <w:rsid w:val="00F82407"/>
    <w:rsid w:val="00F82524"/>
    <w:rsid w:val="00F82EAF"/>
    <w:rsid w:val="00F83635"/>
    <w:rsid w:val="00F85596"/>
    <w:rsid w:val="00F85BD8"/>
    <w:rsid w:val="00F94207"/>
    <w:rsid w:val="00FA0170"/>
    <w:rsid w:val="00FA1008"/>
    <w:rsid w:val="00FA58CE"/>
    <w:rsid w:val="00FB1BC8"/>
    <w:rsid w:val="00FB1D0A"/>
    <w:rsid w:val="00FB3CF3"/>
    <w:rsid w:val="00FC432E"/>
    <w:rsid w:val="00FC5413"/>
    <w:rsid w:val="00FC741C"/>
    <w:rsid w:val="00FD002D"/>
    <w:rsid w:val="00FD10D7"/>
    <w:rsid w:val="00FD562B"/>
    <w:rsid w:val="00FD604E"/>
    <w:rsid w:val="00FE2892"/>
    <w:rsid w:val="00FE444A"/>
    <w:rsid w:val="00FE682B"/>
    <w:rsid w:val="00FE69A7"/>
    <w:rsid w:val="00FF06B9"/>
    <w:rsid w:val="00FF4687"/>
    <w:rsid w:val="00FF6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2D91C9D5"/>
  <w15:docId w15:val="{FB1DC12E-D400-4C0E-AFD4-4EFF27DF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88F"/>
    <w:pPr>
      <w:overflowPunct w:val="0"/>
      <w:autoSpaceDE w:val="0"/>
      <w:autoSpaceDN w:val="0"/>
      <w:adjustRightInd w:val="0"/>
      <w:jc w:val="both"/>
      <w:textAlignment w:val="baseline"/>
    </w:pPr>
    <w:rPr>
      <w:sz w:val="24"/>
      <w:szCs w:val="24"/>
      <w:lang w:val="en-GB"/>
    </w:rPr>
  </w:style>
  <w:style w:type="paragraph" w:styleId="Heading1">
    <w:name w:val="heading 1"/>
    <w:basedOn w:val="Normal"/>
    <w:next w:val="Normal"/>
    <w:qFormat/>
    <w:rsid w:val="00B1388F"/>
    <w:pPr>
      <w:keepNext/>
      <w:spacing w:line="360" w:lineRule="auto"/>
      <w:outlineLvl w:val="0"/>
    </w:pPr>
    <w:rPr>
      <w:b/>
    </w:rPr>
  </w:style>
  <w:style w:type="paragraph" w:styleId="Heading2">
    <w:name w:val="heading 2"/>
    <w:basedOn w:val="Normal"/>
    <w:next w:val="Normal"/>
    <w:qFormat/>
    <w:rsid w:val="00B1388F"/>
    <w:pPr>
      <w:keepNext/>
      <w:pBdr>
        <w:top w:val="single" w:sz="4" w:space="0" w:color="auto"/>
        <w:left w:val="single" w:sz="4" w:space="0" w:color="auto"/>
        <w:bottom w:val="single" w:sz="4" w:space="1" w:color="auto"/>
        <w:right w:val="single" w:sz="4" w:space="4" w:color="auto"/>
      </w:pBdr>
      <w:spacing w:line="360" w:lineRule="auto"/>
      <w:ind w:left="1440" w:firstLine="720"/>
      <w:outlineLvl w:val="1"/>
    </w:pPr>
    <w:rPr>
      <w:b/>
      <w:sz w:val="20"/>
    </w:rPr>
  </w:style>
  <w:style w:type="paragraph" w:styleId="Heading3">
    <w:name w:val="heading 3"/>
    <w:basedOn w:val="Normal"/>
    <w:next w:val="Normal"/>
    <w:qFormat/>
    <w:rsid w:val="00B1388F"/>
    <w:pPr>
      <w:keepNext/>
      <w:ind w:right="284"/>
      <w:outlineLvl w:val="2"/>
    </w:pPr>
    <w:rPr>
      <w:b/>
      <w:sz w:val="26"/>
    </w:rPr>
  </w:style>
  <w:style w:type="paragraph" w:styleId="Heading4">
    <w:name w:val="heading 4"/>
    <w:basedOn w:val="Normal"/>
    <w:next w:val="Normal"/>
    <w:link w:val="Heading4Char"/>
    <w:qFormat/>
    <w:rsid w:val="002D67F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1388F"/>
    <w:pPr>
      <w:tabs>
        <w:tab w:val="center" w:pos="4320"/>
        <w:tab w:val="right" w:pos="8640"/>
      </w:tabs>
    </w:pPr>
  </w:style>
  <w:style w:type="character" w:styleId="PageNumber">
    <w:name w:val="page number"/>
    <w:basedOn w:val="DefaultParagraphFont"/>
    <w:semiHidden/>
    <w:rsid w:val="00B1388F"/>
  </w:style>
  <w:style w:type="paragraph" w:styleId="Footer">
    <w:name w:val="footer"/>
    <w:basedOn w:val="Normal"/>
    <w:semiHidden/>
    <w:rsid w:val="00B1388F"/>
    <w:pPr>
      <w:tabs>
        <w:tab w:val="center" w:pos="4320"/>
        <w:tab w:val="right" w:pos="8640"/>
      </w:tabs>
    </w:pPr>
  </w:style>
  <w:style w:type="paragraph" w:styleId="Title">
    <w:name w:val="Title"/>
    <w:basedOn w:val="Normal"/>
    <w:qFormat/>
    <w:rsid w:val="00B1388F"/>
    <w:pPr>
      <w:spacing w:line="360" w:lineRule="auto"/>
      <w:jc w:val="center"/>
    </w:pPr>
    <w:rPr>
      <w:b/>
      <w:sz w:val="28"/>
    </w:rPr>
  </w:style>
  <w:style w:type="paragraph" w:styleId="BodyText">
    <w:name w:val="Body Text"/>
    <w:basedOn w:val="Normal"/>
    <w:semiHidden/>
    <w:rsid w:val="00B1388F"/>
    <w:pPr>
      <w:spacing w:line="336" w:lineRule="auto"/>
    </w:pPr>
    <w:rPr>
      <w:b/>
      <w:lang w:val="en-US"/>
    </w:rPr>
  </w:style>
  <w:style w:type="paragraph" w:styleId="BodyText2">
    <w:name w:val="Body Text 2"/>
    <w:basedOn w:val="Normal"/>
    <w:semiHidden/>
    <w:rsid w:val="00B1388F"/>
    <w:pPr>
      <w:spacing w:line="300" w:lineRule="auto"/>
      <w:ind w:firstLine="720"/>
    </w:pPr>
    <w:rPr>
      <w:lang w:val="en-US"/>
    </w:rPr>
  </w:style>
  <w:style w:type="character" w:styleId="Hyperlink">
    <w:name w:val="Hyperlink"/>
    <w:rsid w:val="00B1388F"/>
    <w:rPr>
      <w:color w:val="0000FF"/>
      <w:u w:val="single"/>
    </w:rPr>
  </w:style>
  <w:style w:type="paragraph" w:styleId="BalloonText">
    <w:name w:val="Balloon Text"/>
    <w:basedOn w:val="Normal"/>
    <w:link w:val="BalloonTextChar"/>
    <w:uiPriority w:val="99"/>
    <w:semiHidden/>
    <w:unhideWhenUsed/>
    <w:rsid w:val="00C83370"/>
    <w:rPr>
      <w:rFonts w:ascii="Tahoma" w:hAnsi="Tahoma"/>
      <w:sz w:val="16"/>
      <w:szCs w:val="16"/>
    </w:rPr>
  </w:style>
  <w:style w:type="character" w:customStyle="1" w:styleId="BalloonTextChar">
    <w:name w:val="Balloon Text Char"/>
    <w:link w:val="BalloonText"/>
    <w:uiPriority w:val="99"/>
    <w:semiHidden/>
    <w:rsid w:val="00C83370"/>
    <w:rPr>
      <w:rFonts w:ascii="Tahoma" w:hAnsi="Tahoma" w:cs="Tahoma"/>
      <w:sz w:val="16"/>
      <w:szCs w:val="16"/>
      <w:lang w:val="en-GB"/>
    </w:rPr>
  </w:style>
  <w:style w:type="table" w:styleId="TableGrid">
    <w:name w:val="Table Grid"/>
    <w:basedOn w:val="TableNormal"/>
    <w:uiPriority w:val="59"/>
    <w:rsid w:val="000616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semiHidden/>
    <w:rsid w:val="002D67FE"/>
    <w:rPr>
      <w:rFonts w:ascii="Calibri" w:eastAsia="Times New Roman" w:hAnsi="Calibri" w:cs="Times New Roman"/>
      <w:b/>
      <w:bCs/>
      <w:sz w:val="28"/>
      <w:szCs w:val="28"/>
      <w:lang w:val="en-GB"/>
    </w:rPr>
  </w:style>
  <w:style w:type="paragraph" w:customStyle="1" w:styleId="b2">
    <w:name w:val="b2"/>
    <w:basedOn w:val="Normal"/>
    <w:rsid w:val="00290C4D"/>
    <w:pPr>
      <w:overflowPunct/>
      <w:autoSpaceDE/>
      <w:autoSpaceDN/>
      <w:adjustRightInd/>
      <w:spacing w:before="100" w:beforeAutospacing="1" w:after="100" w:afterAutospacing="1"/>
      <w:jc w:val="left"/>
      <w:textAlignment w:val="auto"/>
    </w:pPr>
    <w:rPr>
      <w:rFonts w:ascii="Verdana" w:hAnsi="Verdana"/>
      <w:sz w:val="15"/>
      <w:szCs w:val="15"/>
      <w:lang w:val="en-US"/>
    </w:rPr>
  </w:style>
  <w:style w:type="character" w:styleId="Strong">
    <w:name w:val="Strong"/>
    <w:uiPriority w:val="22"/>
    <w:qFormat/>
    <w:rsid w:val="00290C4D"/>
    <w:rPr>
      <w:b/>
      <w:bCs/>
    </w:rPr>
  </w:style>
  <w:style w:type="paragraph" w:styleId="ListParagraph">
    <w:name w:val="List Paragraph"/>
    <w:basedOn w:val="Normal"/>
    <w:uiPriority w:val="34"/>
    <w:qFormat/>
    <w:rsid w:val="0069466C"/>
    <w:pPr>
      <w:ind w:left="720"/>
      <w:contextualSpacing/>
    </w:pPr>
  </w:style>
  <w:style w:type="character" w:styleId="FollowedHyperlink">
    <w:name w:val="FollowedHyperlink"/>
    <w:basedOn w:val="DefaultParagraphFont"/>
    <w:uiPriority w:val="99"/>
    <w:semiHidden/>
    <w:unhideWhenUsed/>
    <w:rsid w:val="00E970C5"/>
    <w:rPr>
      <w:color w:val="800080" w:themeColor="followedHyperlink"/>
      <w:u w:val="single"/>
    </w:rPr>
  </w:style>
  <w:style w:type="character" w:styleId="UnresolvedMention">
    <w:name w:val="Unresolved Mention"/>
    <w:basedOn w:val="DefaultParagraphFont"/>
    <w:uiPriority w:val="99"/>
    <w:semiHidden/>
    <w:unhideWhenUsed/>
    <w:rsid w:val="00DD6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5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oobhug@govmu.org" TargetMode="External"/><Relationship Id="rId18" Type="http://schemas.openxmlformats.org/officeDocument/2006/relationships/hyperlink" Target="mailto:cso_cpi@govmu.org" TargetMode="External"/><Relationship Id="rId3" Type="http://schemas.openxmlformats.org/officeDocument/2006/relationships/customXml" Target="../customXml/item3.xml"/><Relationship Id="rId21" Type="http://schemas.openxmlformats.org/officeDocument/2006/relationships/hyperlink" Target="https://statsmauritius.govmu.org/Documents/Census_and_Surveys/HBS/Methodological_Rep_HBS2017.pdf" TargetMode="External"/><Relationship Id="rId7" Type="http://schemas.openxmlformats.org/officeDocument/2006/relationships/settings" Target="settings.xml"/><Relationship Id="rId12" Type="http://schemas.openxmlformats.org/officeDocument/2006/relationships/hyperlink" Target="http://statsmauritius.govmu.org" TargetMode="External"/><Relationship Id="rId17" Type="http://schemas.openxmlformats.org/officeDocument/2006/relationships/hyperlink" Target="mailto:gjugoo@govmu.org" TargetMode="External"/><Relationship Id="rId2" Type="http://schemas.openxmlformats.org/officeDocument/2006/relationships/customXml" Target="../customXml/item2.xml"/><Relationship Id="rId16" Type="http://schemas.openxmlformats.org/officeDocument/2006/relationships/hyperlink" Target="mailto:asoobhug@govmu.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so_cpi@govmu.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jugoo@govmu.org" TargetMode="External"/><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B814A-1628-4134-8A1C-E093E3E18F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C30776B-84E7-49D7-9350-81852211C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57FE8-6E64-45F0-B916-E76E664EA483}">
  <ds:schemaRefs>
    <ds:schemaRef ds:uri="http://schemas.microsoft.com/sharepoint/v3/contenttype/forms"/>
  </ds:schemaRefs>
</ds:datastoreItem>
</file>

<file path=customXml/itemProps4.xml><?xml version="1.0" encoding="utf-8"?>
<ds:datastoreItem xmlns:ds="http://schemas.openxmlformats.org/officeDocument/2006/customXml" ds:itemID="{290F9DCB-A1C0-4B00-82B9-1978294D2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1613</Words>
  <Characters>8872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CONSUMER PRICE INDEX</vt:lpstr>
    </vt:vector>
  </TitlesOfParts>
  <Company/>
  <LinksUpToDate>false</LinksUpToDate>
  <CharactersWithSpaces>10465</CharactersWithSpaces>
  <SharedDoc>false</SharedDoc>
  <HLinks>
    <vt:vector size="18" baseType="variant">
      <vt:variant>
        <vt:i4>458766</vt:i4>
      </vt:variant>
      <vt:variant>
        <vt:i4>0</vt:i4>
      </vt:variant>
      <vt:variant>
        <vt:i4>0</vt:i4>
      </vt:variant>
      <vt:variant>
        <vt:i4>5</vt:i4>
      </vt:variant>
      <vt:variant>
        <vt:lpwstr>http://statsmauritius.govmu.org/</vt:lpwstr>
      </vt:variant>
      <vt:variant>
        <vt:lpwstr/>
      </vt:variant>
      <vt:variant>
        <vt:i4>65571</vt:i4>
      </vt:variant>
      <vt:variant>
        <vt:i4>3</vt:i4>
      </vt:variant>
      <vt:variant>
        <vt:i4>0</vt:i4>
      </vt:variant>
      <vt:variant>
        <vt:i4>5</vt:i4>
      </vt:variant>
      <vt:variant>
        <vt:lpwstr>mailto:gjugoo@govmu.org</vt:lpwstr>
      </vt:variant>
      <vt:variant>
        <vt:lpwstr/>
      </vt:variant>
      <vt:variant>
        <vt:i4>1310774</vt:i4>
      </vt:variant>
      <vt:variant>
        <vt:i4>0</vt:i4>
      </vt:variant>
      <vt:variant>
        <vt:i4>0</vt:i4>
      </vt:variant>
      <vt:variant>
        <vt:i4>5</vt:i4>
      </vt:variant>
      <vt:variant>
        <vt:lpwstr>mailto:sbhonoo@govmu.org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PRICE INDEX</dc:title>
  <dc:subject/>
  <dc:creator>Ashwinee Devi Soobhug</dc:creator>
  <cp:keywords/>
  <dc:description/>
  <cp:lastModifiedBy>hemlata ramsohok</cp:lastModifiedBy>
  <cp:revision>2</cp:revision>
  <cp:lastPrinted>2019-04-10T08:01:00Z</cp:lastPrinted>
  <dcterms:created xsi:type="dcterms:W3CDTF">2021-04-15T09:50:00Z</dcterms:created>
  <dcterms:modified xsi:type="dcterms:W3CDTF">2021-04-15T09:50:00Z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